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D76064" w14:textId="6262C273" w:rsidR="00A32E52" w:rsidRDefault="001F4B1E" w:rsidP="009E5BDB">
      <w:r>
        <w:t>1</w:t>
      </w:r>
      <w:r w:rsidR="00A75605">
        <w:rPr>
          <w:rFonts w:hint="eastAsia"/>
        </w:rPr>
        <w:t>.</w:t>
      </w:r>
      <w:hyperlink r:id="rId8" w:anchor="Abs1" w:history="1">
        <w:r w:rsidR="00781B78" w:rsidRPr="00781B78">
          <w:rPr>
            <w:rStyle w:val="a7"/>
          </w:rPr>
          <w:t>Control of mechanical pain hypersensitivity in mice through ligand-targeted photoablation of TrkB-positive sensory neurons | Nature Communications</w:t>
        </w:r>
      </w:hyperlink>
    </w:p>
    <w:p w14:paraId="7DFBC0A3" w14:textId="77777777" w:rsidR="00781B78" w:rsidRPr="001F4B1E" w:rsidRDefault="00781B78" w:rsidP="009E5BDB"/>
    <w:p w14:paraId="0A5CC757" w14:textId="77777777" w:rsidR="00781B78" w:rsidRPr="00781B78" w:rsidRDefault="00781B78" w:rsidP="00781B78">
      <w:pPr>
        <w:rPr>
          <w:b/>
          <w:bCs/>
        </w:rPr>
      </w:pPr>
      <w:r w:rsidRPr="00781B78">
        <w:rPr>
          <w:rFonts w:hint="eastAsia"/>
          <w:b/>
          <w:bCs/>
        </w:rPr>
        <w:t xml:space="preserve">Control of mechanical pain hypersensitivity in mice through ligand-targeted photoablation of </w:t>
      </w:r>
      <w:proofErr w:type="spellStart"/>
      <w:r w:rsidRPr="00781B78">
        <w:rPr>
          <w:rFonts w:hint="eastAsia"/>
          <w:b/>
          <w:bCs/>
        </w:rPr>
        <w:t>TrkB</w:t>
      </w:r>
      <w:proofErr w:type="spellEnd"/>
      <w:r w:rsidRPr="00781B78">
        <w:rPr>
          <w:rFonts w:hint="eastAsia"/>
          <w:b/>
          <w:bCs/>
        </w:rPr>
        <w:t>-positive sensory neurons</w:t>
      </w:r>
    </w:p>
    <w:p w14:paraId="0ADD6FC3" w14:textId="24580C47" w:rsidR="00781B78" w:rsidRDefault="00781B78" w:rsidP="00781B78">
      <w:r>
        <w:rPr>
          <w:rFonts w:hint="eastAsia"/>
        </w:rPr>
        <w:t xml:space="preserve">Rahul Dhandapani, Cynthia Mary </w:t>
      </w:r>
      <w:proofErr w:type="spellStart"/>
      <w:r>
        <w:rPr>
          <w:rFonts w:hint="eastAsia"/>
        </w:rPr>
        <w:t>Arokiaraj</w:t>
      </w:r>
      <w:proofErr w:type="spellEnd"/>
      <w:r>
        <w:rPr>
          <w:rFonts w:hint="eastAsia"/>
        </w:rPr>
        <w:t xml:space="preserve">, Francisco J. </w:t>
      </w:r>
      <w:proofErr w:type="spellStart"/>
      <w:r>
        <w:rPr>
          <w:rFonts w:hint="eastAsia"/>
        </w:rPr>
        <w:t>Taberner</w:t>
      </w:r>
      <w:proofErr w:type="spellEnd"/>
      <w:r>
        <w:rPr>
          <w:rFonts w:hint="eastAsia"/>
        </w:rPr>
        <w:t xml:space="preserve">, Paola </w:t>
      </w:r>
      <w:proofErr w:type="spellStart"/>
      <w:r>
        <w:rPr>
          <w:rFonts w:hint="eastAsia"/>
        </w:rPr>
        <w:t>Pacifico</w:t>
      </w:r>
      <w:proofErr w:type="spellEnd"/>
      <w:r>
        <w:rPr>
          <w:rFonts w:hint="eastAsia"/>
        </w:rPr>
        <w:t xml:space="preserve">, Sruthi Raja, Linda </w:t>
      </w:r>
      <w:proofErr w:type="spellStart"/>
      <w:r>
        <w:rPr>
          <w:rFonts w:hint="eastAsia"/>
        </w:rPr>
        <w:t>Nocchi</w:t>
      </w:r>
      <w:proofErr w:type="spellEnd"/>
      <w:r>
        <w:rPr>
          <w:rFonts w:hint="eastAsia"/>
        </w:rPr>
        <w:t xml:space="preserve">, Carla </w:t>
      </w:r>
      <w:proofErr w:type="spellStart"/>
      <w:r>
        <w:rPr>
          <w:rFonts w:hint="eastAsia"/>
        </w:rPr>
        <w:t>Portulano</w:t>
      </w:r>
      <w:proofErr w:type="spellEnd"/>
      <w:r>
        <w:rPr>
          <w:rFonts w:hint="eastAsia"/>
        </w:rPr>
        <w:t xml:space="preserve">, Federica </w:t>
      </w:r>
      <w:proofErr w:type="spellStart"/>
      <w:r>
        <w:rPr>
          <w:rFonts w:hint="eastAsia"/>
        </w:rPr>
        <w:t>Franciosa</w:t>
      </w:r>
      <w:proofErr w:type="spellEnd"/>
      <w:r>
        <w:rPr>
          <w:rFonts w:hint="eastAsia"/>
        </w:rPr>
        <w:t xml:space="preserve">, Mariano Maffei, Ahmad Fawzi Hussain, Fernanda de Castro Reis, Luc Reymond, Emerald </w:t>
      </w:r>
      <w:proofErr w:type="spellStart"/>
      <w:r>
        <w:rPr>
          <w:rFonts w:hint="eastAsia"/>
        </w:rPr>
        <w:t>Perlas</w:t>
      </w:r>
      <w:proofErr w:type="spellEnd"/>
      <w:r>
        <w:rPr>
          <w:rFonts w:hint="eastAsia"/>
        </w:rPr>
        <w:t xml:space="preserve">, Simone </w:t>
      </w:r>
      <w:proofErr w:type="spellStart"/>
      <w:r>
        <w:rPr>
          <w:rFonts w:hint="eastAsia"/>
        </w:rPr>
        <w:t>Garcovich</w:t>
      </w:r>
      <w:proofErr w:type="spellEnd"/>
      <w:r>
        <w:rPr>
          <w:rFonts w:hint="eastAsia"/>
        </w:rPr>
        <w:t xml:space="preserve">, Stefan Barth, Kai </w:t>
      </w:r>
      <w:proofErr w:type="spellStart"/>
      <w:r>
        <w:rPr>
          <w:rFonts w:hint="eastAsia"/>
        </w:rPr>
        <w:t>Johnsson</w:t>
      </w:r>
      <w:proofErr w:type="spellEnd"/>
      <w:r>
        <w:rPr>
          <w:rFonts w:hint="eastAsia"/>
        </w:rPr>
        <w:t xml:space="preserve">, Stefan G. Lechner &amp; Paul A. </w:t>
      </w:r>
      <w:proofErr w:type="spellStart"/>
      <w:r>
        <w:rPr>
          <w:rFonts w:hint="eastAsia"/>
        </w:rPr>
        <w:t>Heppenstall</w:t>
      </w:r>
      <w:proofErr w:type="spellEnd"/>
    </w:p>
    <w:p w14:paraId="32AE52E7" w14:textId="4A03FF65" w:rsidR="00084556" w:rsidRDefault="00084556" w:rsidP="00084556">
      <w:r>
        <w:rPr>
          <w:rFonts w:hint="eastAsia"/>
          <w:noProof/>
        </w:rPr>
        <w:drawing>
          <wp:inline distT="0" distB="0" distL="0" distR="0" wp14:anchorId="29FFD993" wp14:editId="29A8276A">
            <wp:extent cx="5971413" cy="5125826"/>
            <wp:effectExtent l="0" t="0" r="0" b="0"/>
            <wp:docPr id="12317768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83559" cy="5136252"/>
                    </a:xfrm>
                    <a:prstGeom prst="rect">
                      <a:avLst/>
                    </a:prstGeom>
                    <a:noFill/>
                  </pic:spPr>
                </pic:pic>
              </a:graphicData>
            </a:graphic>
          </wp:inline>
        </w:drawing>
      </w:r>
    </w:p>
    <w:p w14:paraId="2702A405" w14:textId="53091E29" w:rsidR="00084556" w:rsidRDefault="00084556" w:rsidP="00084556">
      <w:r w:rsidRPr="00084556">
        <w:t xml:space="preserve">Diphtheria toxin-mediated ablation of </w:t>
      </w:r>
      <w:proofErr w:type="spellStart"/>
      <w:r w:rsidRPr="00084556">
        <w:t>TrkB</w:t>
      </w:r>
      <w:proofErr w:type="spellEnd"/>
      <w:r w:rsidRPr="00084556">
        <w:rPr>
          <w:vertAlign w:val="superscript"/>
        </w:rPr>
        <w:t>+</w:t>
      </w:r>
      <w:r w:rsidRPr="00084556">
        <w:t> sensory neurons. Immunostaining of DRG sections of TrkB</w:t>
      </w:r>
      <w:r w:rsidRPr="00084556">
        <w:rPr>
          <w:vertAlign w:val="superscript"/>
        </w:rPr>
        <w:t>CreERT</w:t>
      </w:r>
      <w:proofErr w:type="gramStart"/>
      <w:r w:rsidRPr="00084556">
        <w:rPr>
          <w:vertAlign w:val="superscript"/>
        </w:rPr>
        <w:t>2</w:t>
      </w:r>
      <w:r w:rsidRPr="00084556">
        <w:t>::</w:t>
      </w:r>
      <w:proofErr w:type="spellStart"/>
      <w:proofErr w:type="gramEnd"/>
      <w:r w:rsidRPr="00084556">
        <w:t>Avil</w:t>
      </w:r>
      <w:r w:rsidRPr="00084556">
        <w:rPr>
          <w:vertAlign w:val="superscript"/>
        </w:rPr>
        <w:t>iDTR</w:t>
      </w:r>
      <w:proofErr w:type="spellEnd"/>
      <w:r w:rsidRPr="00084556">
        <w:t> mice with an antibody against the diphtheria toxin receptor (red) from </w:t>
      </w:r>
      <w:r w:rsidRPr="00084556">
        <w:rPr>
          <w:b/>
          <w:bCs/>
        </w:rPr>
        <w:t>a</w:t>
      </w:r>
      <w:r w:rsidRPr="00084556">
        <w:t> untreated mice and </w:t>
      </w:r>
      <w:r w:rsidRPr="00084556">
        <w:rPr>
          <w:b/>
          <w:bCs/>
        </w:rPr>
        <w:t>b</w:t>
      </w:r>
      <w:r w:rsidRPr="00084556">
        <w:t xml:space="preserve"> after </w:t>
      </w:r>
      <w:proofErr w:type="spellStart"/>
      <w:r w:rsidRPr="00084556">
        <w:t>i.p.</w:t>
      </w:r>
      <w:proofErr w:type="spellEnd"/>
      <w:r w:rsidRPr="00084556">
        <w:t xml:space="preserve"> injections of diphtheria toxin. </w:t>
      </w:r>
      <w:r w:rsidRPr="00084556">
        <w:rPr>
          <w:b/>
          <w:bCs/>
        </w:rPr>
        <w:t>c</w:t>
      </w:r>
      <w:r w:rsidRPr="00084556">
        <w:t xml:space="preserve"> Quantification of DRG sections indicating a ~90% decrease in </w:t>
      </w:r>
      <w:proofErr w:type="spellStart"/>
      <w:r w:rsidRPr="00084556">
        <w:t>TrkB</w:t>
      </w:r>
      <w:r w:rsidRPr="00084556">
        <w:rPr>
          <w:vertAlign w:val="superscript"/>
        </w:rPr>
        <w:t>DTR</w:t>
      </w:r>
      <w:proofErr w:type="spellEnd"/>
      <w:r w:rsidRPr="00084556">
        <w:t xml:space="preserve"> and </w:t>
      </w:r>
      <w:proofErr w:type="spellStart"/>
      <w:r w:rsidRPr="00084556">
        <w:t>TrkB</w:t>
      </w:r>
      <w:r w:rsidRPr="00084556">
        <w:rPr>
          <w:vertAlign w:val="superscript"/>
        </w:rPr>
        <w:t>mRNA</w:t>
      </w:r>
      <w:proofErr w:type="spellEnd"/>
      <w:r w:rsidRPr="00084556">
        <w:t> cells after ablation and 36% reduction in NF200</w:t>
      </w:r>
      <w:r w:rsidRPr="00084556">
        <w:rPr>
          <w:vertAlign w:val="superscript"/>
        </w:rPr>
        <w:t>+</w:t>
      </w:r>
      <w:r w:rsidRPr="00084556">
        <w:t> neurons without affecting other subpopulations. </w:t>
      </w:r>
      <w:r w:rsidRPr="00084556">
        <w:rPr>
          <w:b/>
          <w:bCs/>
        </w:rPr>
        <w:t>d</w:t>
      </w:r>
      <w:r w:rsidRPr="00084556">
        <w:t>–</w:t>
      </w:r>
      <w:r w:rsidRPr="00084556">
        <w:rPr>
          <w:b/>
          <w:bCs/>
        </w:rPr>
        <w:t>l</w:t>
      </w:r>
      <w:r w:rsidRPr="00084556">
        <w:t> Behavioral responses in littermate control mice (</w:t>
      </w:r>
      <w:proofErr w:type="spellStart"/>
      <w:r w:rsidRPr="00084556">
        <w:t>Avil</w:t>
      </w:r>
      <w:r w:rsidRPr="00084556">
        <w:rPr>
          <w:vertAlign w:val="superscript"/>
        </w:rPr>
        <w:t>iDTR</w:t>
      </w:r>
      <w:proofErr w:type="spellEnd"/>
      <w:r w:rsidRPr="00084556">
        <w:t>, black bars) and TrkB</w:t>
      </w:r>
      <w:r w:rsidRPr="00084556">
        <w:rPr>
          <w:vertAlign w:val="superscript"/>
        </w:rPr>
        <w:t>CreERT2</w:t>
      </w:r>
      <w:r w:rsidRPr="00084556">
        <w:t>::</w:t>
      </w:r>
      <w:proofErr w:type="spellStart"/>
      <w:r w:rsidRPr="00084556">
        <w:t>Avil</w:t>
      </w:r>
      <w:r w:rsidRPr="00084556">
        <w:rPr>
          <w:vertAlign w:val="superscript"/>
        </w:rPr>
        <w:t>iDTR</w:t>
      </w:r>
      <w:proofErr w:type="spellEnd"/>
      <w:r w:rsidRPr="00084556">
        <w:t> mice (white bars) showing no differences in responses before and after ablation in the acetone drop test (</w:t>
      </w:r>
      <w:r w:rsidRPr="00084556">
        <w:rPr>
          <w:i/>
          <w:iCs/>
        </w:rPr>
        <w:t>t</w:t>
      </w:r>
      <w:r w:rsidRPr="00084556">
        <w:t>-test; </w:t>
      </w:r>
      <w:r w:rsidRPr="00084556">
        <w:rPr>
          <w:i/>
          <w:iCs/>
        </w:rPr>
        <w:t>p</w:t>
      </w:r>
      <w:r w:rsidRPr="00084556">
        <w:rPr>
          <w:rFonts w:ascii="MS Gothic" w:eastAsia="MS Gothic" w:hAnsi="MS Gothic" w:cs="MS Gothic" w:hint="eastAsia"/>
        </w:rPr>
        <w:t> </w:t>
      </w:r>
      <w:r w:rsidRPr="00084556">
        <w:t>=</w:t>
      </w:r>
      <w:r w:rsidRPr="00084556">
        <w:rPr>
          <w:rFonts w:ascii="MS Gothic" w:eastAsia="MS Gothic" w:hAnsi="MS Gothic" w:cs="MS Gothic" w:hint="eastAsia"/>
        </w:rPr>
        <w:t> </w:t>
      </w:r>
      <w:r w:rsidRPr="00084556">
        <w:t>0.800) on</w:t>
      </w:r>
      <w:r w:rsidRPr="00084556">
        <w:rPr>
          <w:rFonts w:ascii="等线" w:eastAsia="等线" w:hAnsi="等线" w:cs="等线" w:hint="eastAsia"/>
        </w:rPr>
        <w:t> </w:t>
      </w:r>
      <w:r w:rsidRPr="00084556">
        <w:rPr>
          <w:b/>
          <w:bCs/>
        </w:rPr>
        <w:t>d</w:t>
      </w:r>
      <w:r w:rsidRPr="00084556">
        <w:t> glabrous and </w:t>
      </w:r>
      <w:r w:rsidRPr="00084556">
        <w:rPr>
          <w:b/>
          <w:bCs/>
        </w:rPr>
        <w:t>e</w:t>
      </w:r>
      <w:r w:rsidRPr="00084556">
        <w:t> hairy skin, </w:t>
      </w:r>
      <w:r w:rsidRPr="00084556">
        <w:rPr>
          <w:b/>
          <w:bCs/>
        </w:rPr>
        <w:t>f</w:t>
      </w:r>
      <w:r w:rsidRPr="00084556">
        <w:t> hot plate test (</w:t>
      </w:r>
      <w:r w:rsidRPr="00084556">
        <w:rPr>
          <w:i/>
          <w:iCs/>
        </w:rPr>
        <w:t>t</w:t>
      </w:r>
      <w:r w:rsidRPr="00084556">
        <w:t>-test; </w:t>
      </w:r>
      <w:r w:rsidRPr="00084556">
        <w:rPr>
          <w:i/>
          <w:iCs/>
        </w:rPr>
        <w:t>p</w:t>
      </w:r>
      <w:r w:rsidRPr="00084556">
        <w:rPr>
          <w:rFonts w:ascii="MS Gothic" w:eastAsia="MS Gothic" w:hAnsi="MS Gothic" w:cs="MS Gothic" w:hint="eastAsia"/>
        </w:rPr>
        <w:t> </w:t>
      </w:r>
      <w:r w:rsidRPr="00084556">
        <w:t>=</w:t>
      </w:r>
      <w:r w:rsidRPr="00084556">
        <w:rPr>
          <w:rFonts w:ascii="MS Gothic" w:eastAsia="MS Gothic" w:hAnsi="MS Gothic" w:cs="MS Gothic" w:hint="eastAsia"/>
        </w:rPr>
        <w:t> </w:t>
      </w:r>
      <w:r w:rsidRPr="00084556">
        <w:t>0.914),</w:t>
      </w:r>
      <w:r w:rsidRPr="00084556">
        <w:rPr>
          <w:rFonts w:ascii="等线" w:eastAsia="等线" w:hAnsi="等线" w:cs="等线" w:hint="eastAsia"/>
        </w:rPr>
        <w:t> </w:t>
      </w:r>
      <w:r w:rsidRPr="00084556">
        <w:rPr>
          <w:b/>
          <w:bCs/>
        </w:rPr>
        <w:t>g</w:t>
      </w:r>
      <w:r w:rsidRPr="00084556">
        <w:t> radiant heat test on glabrous and hairy skin (</w:t>
      </w:r>
      <w:r w:rsidRPr="00084556">
        <w:rPr>
          <w:i/>
          <w:iCs/>
        </w:rPr>
        <w:t>t</w:t>
      </w:r>
      <w:r w:rsidRPr="00084556">
        <w:t>-test; </w:t>
      </w:r>
      <w:r w:rsidRPr="00084556">
        <w:rPr>
          <w:i/>
          <w:iCs/>
        </w:rPr>
        <w:t>p</w:t>
      </w:r>
      <w:r w:rsidRPr="00084556">
        <w:rPr>
          <w:rFonts w:ascii="MS Gothic" w:eastAsia="MS Gothic" w:hAnsi="MS Gothic" w:cs="MS Gothic" w:hint="eastAsia"/>
        </w:rPr>
        <w:t> </w:t>
      </w:r>
      <w:r w:rsidRPr="00084556">
        <w:t>=</w:t>
      </w:r>
      <w:r w:rsidRPr="00084556">
        <w:rPr>
          <w:rFonts w:ascii="MS Gothic" w:eastAsia="MS Gothic" w:hAnsi="MS Gothic" w:cs="MS Gothic" w:hint="eastAsia"/>
        </w:rPr>
        <w:t> </w:t>
      </w:r>
      <w:r w:rsidRPr="00084556">
        <w:t>0.263),</w:t>
      </w:r>
      <w:r w:rsidRPr="00084556">
        <w:rPr>
          <w:rFonts w:ascii="等线" w:eastAsia="等线" w:hAnsi="等线" w:cs="等线" w:hint="eastAsia"/>
        </w:rPr>
        <w:t> </w:t>
      </w:r>
      <w:r w:rsidRPr="00084556">
        <w:rPr>
          <w:b/>
          <w:bCs/>
        </w:rPr>
        <w:t>h</w:t>
      </w:r>
      <w:r w:rsidRPr="00084556">
        <w:t> grip test (</w:t>
      </w:r>
      <w:r w:rsidRPr="00084556">
        <w:rPr>
          <w:i/>
          <w:iCs/>
        </w:rPr>
        <w:t>t</w:t>
      </w:r>
      <w:r w:rsidRPr="00084556">
        <w:t>-test; </w:t>
      </w:r>
      <w:r w:rsidRPr="00084556">
        <w:rPr>
          <w:i/>
          <w:iCs/>
        </w:rPr>
        <w:t>p</w:t>
      </w:r>
      <w:r w:rsidRPr="00084556">
        <w:rPr>
          <w:rFonts w:ascii="MS Gothic" w:eastAsia="MS Gothic" w:hAnsi="MS Gothic" w:cs="MS Gothic" w:hint="eastAsia"/>
        </w:rPr>
        <w:t> </w:t>
      </w:r>
      <w:r w:rsidRPr="00084556">
        <w:t>=</w:t>
      </w:r>
      <w:r w:rsidRPr="00084556">
        <w:rPr>
          <w:rFonts w:ascii="MS Gothic" w:eastAsia="MS Gothic" w:hAnsi="MS Gothic" w:cs="MS Gothic" w:hint="eastAsia"/>
        </w:rPr>
        <w:t> </w:t>
      </w:r>
      <w:r w:rsidRPr="00084556">
        <w:t>0.484),</w:t>
      </w:r>
      <w:r w:rsidRPr="00084556">
        <w:rPr>
          <w:rFonts w:ascii="等线" w:eastAsia="等线" w:hAnsi="等线" w:cs="等线" w:hint="eastAsia"/>
        </w:rPr>
        <w:t> </w:t>
      </w:r>
      <w:proofErr w:type="spellStart"/>
      <w:r w:rsidRPr="00084556">
        <w:rPr>
          <w:b/>
          <w:bCs/>
        </w:rPr>
        <w:t>i</w:t>
      </w:r>
      <w:proofErr w:type="spellEnd"/>
      <w:r w:rsidRPr="00084556">
        <w:t> pin-</w:t>
      </w:r>
      <w:r w:rsidRPr="00084556">
        <w:lastRenderedPageBreak/>
        <w:t>prick test (</w:t>
      </w:r>
      <w:r w:rsidRPr="00084556">
        <w:rPr>
          <w:i/>
          <w:iCs/>
        </w:rPr>
        <w:t>t</w:t>
      </w:r>
      <w:r w:rsidRPr="00084556">
        <w:t>-test; </w:t>
      </w:r>
      <w:r w:rsidRPr="00084556">
        <w:rPr>
          <w:i/>
          <w:iCs/>
        </w:rPr>
        <w:t>p</w:t>
      </w:r>
      <w:r w:rsidRPr="00084556">
        <w:rPr>
          <w:rFonts w:ascii="MS Gothic" w:eastAsia="MS Gothic" w:hAnsi="MS Gothic" w:cs="MS Gothic" w:hint="eastAsia"/>
        </w:rPr>
        <w:t> </w:t>
      </w:r>
      <w:r w:rsidRPr="00084556">
        <w:t>=</w:t>
      </w:r>
      <w:r w:rsidRPr="00084556">
        <w:rPr>
          <w:rFonts w:ascii="MS Gothic" w:eastAsia="MS Gothic" w:hAnsi="MS Gothic" w:cs="MS Gothic" w:hint="eastAsia"/>
        </w:rPr>
        <w:t> </w:t>
      </w:r>
      <w:r w:rsidRPr="00084556">
        <w:t>0.691),</w:t>
      </w:r>
      <w:r w:rsidRPr="00084556">
        <w:rPr>
          <w:rFonts w:ascii="等线" w:eastAsia="等线" w:hAnsi="等线" w:cs="等线" w:hint="eastAsia"/>
        </w:rPr>
        <w:t> </w:t>
      </w:r>
      <w:r w:rsidRPr="00084556">
        <w:rPr>
          <w:b/>
          <w:bCs/>
        </w:rPr>
        <w:t>j</w:t>
      </w:r>
      <w:r w:rsidRPr="00084556">
        <w:t> tape test (</w:t>
      </w:r>
      <w:r w:rsidRPr="00084556">
        <w:rPr>
          <w:i/>
          <w:iCs/>
        </w:rPr>
        <w:t>t</w:t>
      </w:r>
      <w:r w:rsidRPr="00084556">
        <w:t>-test; </w:t>
      </w:r>
      <w:r w:rsidRPr="00084556">
        <w:rPr>
          <w:i/>
          <w:iCs/>
        </w:rPr>
        <w:t>p</w:t>
      </w:r>
      <w:r w:rsidRPr="00084556">
        <w:rPr>
          <w:rFonts w:ascii="MS Gothic" w:eastAsia="MS Gothic" w:hAnsi="MS Gothic" w:cs="MS Gothic" w:hint="eastAsia"/>
        </w:rPr>
        <w:t> </w:t>
      </w:r>
      <w:r w:rsidRPr="00084556">
        <w:t>=</w:t>
      </w:r>
      <w:r w:rsidRPr="00084556">
        <w:rPr>
          <w:rFonts w:ascii="MS Gothic" w:eastAsia="MS Gothic" w:hAnsi="MS Gothic" w:cs="MS Gothic" w:hint="eastAsia"/>
        </w:rPr>
        <w:t> </w:t>
      </w:r>
      <w:r w:rsidRPr="00084556">
        <w:t>0.776), and</w:t>
      </w:r>
      <w:r w:rsidRPr="00084556">
        <w:rPr>
          <w:rFonts w:ascii="等线" w:eastAsia="等线" w:hAnsi="等线" w:cs="等线" w:hint="eastAsia"/>
        </w:rPr>
        <w:t> </w:t>
      </w:r>
      <w:r w:rsidRPr="00084556">
        <w:rPr>
          <w:b/>
          <w:bCs/>
        </w:rPr>
        <w:t>k</w:t>
      </w:r>
      <w:r w:rsidRPr="00084556">
        <w:t> punctate mechanical flick test applied to the hairy back skin (</w:t>
      </w:r>
      <w:r w:rsidRPr="00084556">
        <w:rPr>
          <w:i/>
          <w:iCs/>
        </w:rPr>
        <w:t>t</w:t>
      </w:r>
      <w:r w:rsidRPr="00084556">
        <w:t>-test; </w:t>
      </w:r>
      <w:r w:rsidRPr="00084556">
        <w:rPr>
          <w:i/>
          <w:iCs/>
        </w:rPr>
        <w:t>p</w:t>
      </w:r>
      <w:r w:rsidRPr="00084556">
        <w:rPr>
          <w:rFonts w:ascii="MS Gothic" w:eastAsia="MS Gothic" w:hAnsi="MS Gothic" w:cs="MS Gothic" w:hint="eastAsia"/>
        </w:rPr>
        <w:t> </w:t>
      </w:r>
      <w:r w:rsidRPr="00084556">
        <w:t>=</w:t>
      </w:r>
      <w:r w:rsidRPr="00084556">
        <w:rPr>
          <w:rFonts w:ascii="MS Gothic" w:eastAsia="MS Gothic" w:hAnsi="MS Gothic" w:cs="MS Gothic" w:hint="eastAsia"/>
        </w:rPr>
        <w:t> </w:t>
      </w:r>
      <w:r w:rsidRPr="00084556">
        <w:t>0.196).</w:t>
      </w:r>
      <w:r w:rsidRPr="00084556">
        <w:rPr>
          <w:rFonts w:ascii="等线" w:eastAsia="等线" w:hAnsi="等线" w:cs="等线" w:hint="eastAsia"/>
        </w:rPr>
        <w:t> </w:t>
      </w:r>
      <w:r w:rsidRPr="00084556">
        <w:rPr>
          <w:b/>
          <w:bCs/>
        </w:rPr>
        <w:t>l</w:t>
      </w:r>
      <w:r w:rsidRPr="00084556">
        <w:t> Ablated mice show a reduction in sensitivities to cotton swab (</w:t>
      </w:r>
      <w:r w:rsidRPr="00084556">
        <w:rPr>
          <w:i/>
          <w:iCs/>
        </w:rPr>
        <w:t>t</w:t>
      </w:r>
      <w:r w:rsidRPr="00084556">
        <w:t>-test, </w:t>
      </w:r>
      <w:r w:rsidRPr="00084556">
        <w:rPr>
          <w:i/>
          <w:iCs/>
        </w:rPr>
        <w:t>p</w:t>
      </w:r>
      <w:r w:rsidRPr="00084556">
        <w:rPr>
          <w:rFonts w:ascii="MS Gothic" w:eastAsia="MS Gothic" w:hAnsi="MS Gothic" w:cs="MS Gothic" w:hint="eastAsia"/>
        </w:rPr>
        <w:t> </w:t>
      </w:r>
      <w:r w:rsidRPr="00084556">
        <w:t>=</w:t>
      </w:r>
      <w:r w:rsidRPr="00084556">
        <w:rPr>
          <w:rFonts w:ascii="MS Gothic" w:eastAsia="MS Gothic" w:hAnsi="MS Gothic" w:cs="MS Gothic" w:hint="eastAsia"/>
        </w:rPr>
        <w:t> </w:t>
      </w:r>
      <w:r w:rsidRPr="00084556">
        <w:t>0.002). Scale bars in</w:t>
      </w:r>
      <w:r w:rsidRPr="00084556">
        <w:rPr>
          <w:rFonts w:ascii="等线" w:eastAsia="等线" w:hAnsi="等线" w:cs="等线" w:hint="eastAsia"/>
        </w:rPr>
        <w:t> </w:t>
      </w:r>
      <w:r w:rsidRPr="00084556">
        <w:rPr>
          <w:b/>
          <w:bCs/>
        </w:rPr>
        <w:t>a</w:t>
      </w:r>
      <w:r w:rsidRPr="00084556">
        <w:t>, </w:t>
      </w:r>
      <w:r w:rsidRPr="00084556">
        <w:rPr>
          <w:b/>
          <w:bCs/>
        </w:rPr>
        <w:t>b</w:t>
      </w:r>
      <w:r w:rsidRPr="00084556">
        <w:t> 50</w:t>
      </w:r>
      <w:r w:rsidRPr="00084556">
        <w:rPr>
          <w:rFonts w:ascii="MS Gothic" w:eastAsia="MS Gothic" w:hAnsi="MS Gothic" w:cs="MS Gothic" w:hint="eastAsia"/>
        </w:rPr>
        <w:t> </w:t>
      </w:r>
      <w:r w:rsidRPr="00084556">
        <w:rPr>
          <w:rFonts w:ascii="等线" w:eastAsia="等线" w:hAnsi="等线" w:cs="等线" w:hint="eastAsia"/>
        </w:rPr>
        <w:t>μ</w:t>
      </w:r>
      <w:r w:rsidRPr="00084556">
        <w:t>m, error bars indicate SEM</w:t>
      </w:r>
      <w:r>
        <w:rPr>
          <w:rFonts w:hint="eastAsia"/>
        </w:rPr>
        <w:t>.</w:t>
      </w:r>
    </w:p>
    <w:p w14:paraId="154DACBA" w14:textId="77777777" w:rsidR="00084556" w:rsidRDefault="00084556" w:rsidP="00084556"/>
    <w:p w14:paraId="64E0CDAB" w14:textId="03225F36" w:rsidR="00084556" w:rsidRDefault="00084556" w:rsidP="00084556"/>
    <w:p w14:paraId="1EE8C57D" w14:textId="56821F0D" w:rsidR="00084556" w:rsidRDefault="007B733F" w:rsidP="00084556">
      <w:r>
        <w:rPr>
          <w:rFonts w:hint="eastAsia"/>
          <w:noProof/>
        </w:rPr>
        <w:drawing>
          <wp:inline distT="0" distB="0" distL="0" distR="0" wp14:anchorId="29BB80D3" wp14:editId="38F8EA81">
            <wp:extent cx="5957697" cy="4435658"/>
            <wp:effectExtent l="0" t="0" r="5080" b="3175"/>
            <wp:docPr id="15198540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74451" cy="4448132"/>
                    </a:xfrm>
                    <a:prstGeom prst="rect">
                      <a:avLst/>
                    </a:prstGeom>
                    <a:noFill/>
                  </pic:spPr>
                </pic:pic>
              </a:graphicData>
            </a:graphic>
          </wp:inline>
        </w:drawing>
      </w:r>
    </w:p>
    <w:p w14:paraId="5106D045" w14:textId="10FD1B64" w:rsidR="007B733F" w:rsidRDefault="007B733F" w:rsidP="00084556">
      <w:proofErr w:type="spellStart"/>
      <w:r w:rsidRPr="007B733F">
        <w:t>TrkB</w:t>
      </w:r>
      <w:proofErr w:type="spellEnd"/>
      <w:r w:rsidRPr="007B733F">
        <w:t> neurons are necessary and sufficient to convey mechanical allodynia after nerve injury. </w:t>
      </w:r>
      <w:r w:rsidRPr="007B733F">
        <w:rPr>
          <w:b/>
          <w:bCs/>
        </w:rPr>
        <w:t>a</w:t>
      </w:r>
      <w:r w:rsidRPr="007B733F">
        <w:t xml:space="preserve"> Schematic of CFA injection and behavior tests following ablation of </w:t>
      </w:r>
      <w:proofErr w:type="spellStart"/>
      <w:r w:rsidRPr="007B733F">
        <w:t>TrkB</w:t>
      </w:r>
      <w:proofErr w:type="spellEnd"/>
      <w:r w:rsidRPr="007B733F">
        <w:t xml:space="preserve"> neurons. Mechanical hypersensitivity in control </w:t>
      </w:r>
      <w:proofErr w:type="spellStart"/>
      <w:r w:rsidRPr="007B733F">
        <w:t>Avil</w:t>
      </w:r>
      <w:proofErr w:type="spellEnd"/>
      <w:r w:rsidRPr="007B733F">
        <w:rPr>
          <w:vertAlign w:val="superscript"/>
        </w:rPr>
        <w:t>++</w:t>
      </w:r>
      <w:proofErr w:type="spellStart"/>
      <w:r w:rsidRPr="007B733F">
        <w:rPr>
          <w:vertAlign w:val="superscript"/>
        </w:rPr>
        <w:t>iDTR</w:t>
      </w:r>
      <w:proofErr w:type="spellEnd"/>
      <w:r w:rsidRPr="007B733F">
        <w:t> (black bar), TrkB</w:t>
      </w:r>
      <w:r w:rsidRPr="007B733F">
        <w:rPr>
          <w:vertAlign w:val="superscript"/>
        </w:rPr>
        <w:t>CreERT2</w:t>
      </w:r>
      <w:r w:rsidRPr="007B733F">
        <w:t>::</w:t>
      </w:r>
      <w:proofErr w:type="spellStart"/>
      <w:r w:rsidRPr="007B733F">
        <w:t>Avil</w:t>
      </w:r>
      <w:r w:rsidRPr="007B733F">
        <w:rPr>
          <w:vertAlign w:val="superscript"/>
        </w:rPr>
        <w:t>iDTR</w:t>
      </w:r>
      <w:proofErr w:type="spellEnd"/>
      <w:r w:rsidRPr="007B733F">
        <w:t> (white bar), and sham-injected (gray bar) mice 48</w:t>
      </w:r>
      <w:r w:rsidRPr="007B733F">
        <w:rPr>
          <w:rFonts w:ascii="MS Gothic" w:eastAsia="MS Gothic" w:hAnsi="MS Gothic" w:cs="MS Gothic" w:hint="eastAsia"/>
        </w:rPr>
        <w:t> </w:t>
      </w:r>
      <w:r w:rsidRPr="007B733F">
        <w:t>h after CFA injections as measured by</w:t>
      </w:r>
      <w:r w:rsidRPr="007B733F">
        <w:rPr>
          <w:rFonts w:ascii="等线" w:eastAsia="等线" w:hAnsi="等线" w:cs="等线" w:hint="eastAsia"/>
        </w:rPr>
        <w:t> </w:t>
      </w:r>
      <w:r w:rsidRPr="007B733F">
        <w:rPr>
          <w:b/>
          <w:bCs/>
        </w:rPr>
        <w:t>b</w:t>
      </w:r>
      <w:r w:rsidRPr="007B733F">
        <w:t> von Frey filaments (</w:t>
      </w:r>
      <w:r w:rsidRPr="007B733F">
        <w:rPr>
          <w:i/>
          <w:iCs/>
        </w:rPr>
        <w:t>t</w:t>
      </w:r>
      <w:r w:rsidRPr="007B733F">
        <w:t>-test, </w:t>
      </w:r>
      <w:r w:rsidRPr="007B733F">
        <w:rPr>
          <w:i/>
          <w:iCs/>
        </w:rPr>
        <w:t>p</w:t>
      </w:r>
      <w:r w:rsidRPr="007B733F">
        <w:rPr>
          <w:rFonts w:ascii="MS Gothic" w:eastAsia="MS Gothic" w:hAnsi="MS Gothic" w:cs="MS Gothic" w:hint="eastAsia"/>
        </w:rPr>
        <w:t> </w:t>
      </w:r>
      <w:r w:rsidRPr="007B733F">
        <w:t>=</w:t>
      </w:r>
      <w:r w:rsidRPr="007B733F">
        <w:rPr>
          <w:rFonts w:ascii="MS Gothic" w:eastAsia="MS Gothic" w:hAnsi="MS Gothic" w:cs="MS Gothic" w:hint="eastAsia"/>
        </w:rPr>
        <w:t> </w:t>
      </w:r>
      <w:r w:rsidRPr="007B733F">
        <w:t>0.886),</w:t>
      </w:r>
      <w:r w:rsidRPr="007B733F">
        <w:rPr>
          <w:rFonts w:ascii="等线" w:eastAsia="等线" w:hAnsi="等线" w:cs="等线" w:hint="eastAsia"/>
        </w:rPr>
        <w:t> </w:t>
      </w:r>
      <w:r w:rsidRPr="007B733F">
        <w:rPr>
          <w:b/>
          <w:bCs/>
        </w:rPr>
        <w:t>c</w:t>
      </w:r>
      <w:r w:rsidRPr="007B733F">
        <w:t> dynamic brush stimuli (</w:t>
      </w:r>
      <w:r w:rsidRPr="007B733F">
        <w:rPr>
          <w:i/>
          <w:iCs/>
        </w:rPr>
        <w:t>t</w:t>
      </w:r>
      <w:r w:rsidRPr="007B733F">
        <w:t>-test; </w:t>
      </w:r>
      <w:r w:rsidRPr="007B733F">
        <w:rPr>
          <w:i/>
          <w:iCs/>
        </w:rPr>
        <w:t>p</w:t>
      </w:r>
      <w:r w:rsidRPr="007B733F">
        <w:rPr>
          <w:rFonts w:ascii="MS Gothic" w:eastAsia="MS Gothic" w:hAnsi="MS Gothic" w:cs="MS Gothic" w:hint="eastAsia"/>
        </w:rPr>
        <w:t> </w:t>
      </w:r>
      <w:r w:rsidRPr="007B733F">
        <w:t>=</w:t>
      </w:r>
      <w:r w:rsidRPr="007B733F">
        <w:rPr>
          <w:rFonts w:ascii="MS Gothic" w:eastAsia="MS Gothic" w:hAnsi="MS Gothic" w:cs="MS Gothic" w:hint="eastAsia"/>
        </w:rPr>
        <w:t> </w:t>
      </w:r>
      <w:r w:rsidRPr="007B733F">
        <w:t>0.537), and</w:t>
      </w:r>
      <w:r w:rsidRPr="007B733F">
        <w:rPr>
          <w:rFonts w:ascii="等线" w:eastAsia="等线" w:hAnsi="等线" w:cs="等线" w:hint="eastAsia"/>
        </w:rPr>
        <w:t> </w:t>
      </w:r>
      <w:r w:rsidRPr="007B733F">
        <w:rPr>
          <w:b/>
          <w:bCs/>
        </w:rPr>
        <w:t>d</w:t>
      </w:r>
      <w:r w:rsidRPr="007B733F">
        <w:t> cotton swab stimuli (</w:t>
      </w:r>
      <w:r w:rsidRPr="007B733F">
        <w:rPr>
          <w:i/>
          <w:iCs/>
        </w:rPr>
        <w:t>t</w:t>
      </w:r>
      <w:r w:rsidRPr="007B733F">
        <w:t>-test; </w:t>
      </w:r>
      <w:r w:rsidRPr="007B733F">
        <w:rPr>
          <w:i/>
          <w:iCs/>
        </w:rPr>
        <w:t>p</w:t>
      </w:r>
      <w:r w:rsidRPr="007B733F">
        <w:rPr>
          <w:rFonts w:ascii="MS Gothic" w:eastAsia="MS Gothic" w:hAnsi="MS Gothic" w:cs="MS Gothic" w:hint="eastAsia"/>
        </w:rPr>
        <w:t> </w:t>
      </w:r>
      <w:r w:rsidRPr="007B733F">
        <w:t>=</w:t>
      </w:r>
      <w:r w:rsidRPr="007B733F">
        <w:rPr>
          <w:rFonts w:ascii="MS Gothic" w:eastAsia="MS Gothic" w:hAnsi="MS Gothic" w:cs="MS Gothic" w:hint="eastAsia"/>
        </w:rPr>
        <w:t> </w:t>
      </w:r>
      <w:r w:rsidRPr="007B733F">
        <w:t>0.242). All mice received two diphtheria toxin injections 7 days and 10 days before CFA treatment.</w:t>
      </w:r>
      <w:r w:rsidRPr="007B733F">
        <w:rPr>
          <w:rFonts w:ascii="等线" w:eastAsia="等线" w:hAnsi="等线" w:cs="等线" w:hint="eastAsia"/>
        </w:rPr>
        <w:t> </w:t>
      </w:r>
      <w:r w:rsidRPr="007B733F">
        <w:rPr>
          <w:b/>
          <w:bCs/>
        </w:rPr>
        <w:t>e</w:t>
      </w:r>
      <w:r w:rsidRPr="007B733F">
        <w:t> Paw withdrawal frequencies in control (Rosa26</w:t>
      </w:r>
      <w:r w:rsidRPr="007B733F">
        <w:rPr>
          <w:vertAlign w:val="superscript"/>
        </w:rPr>
        <w:t>ChR2</w:t>
      </w:r>
      <w:r w:rsidRPr="007B733F">
        <w:t> mice without Cre, black bar), and CFA-injected (white bar) or sham (grey bar)-injected paw of TrkB</w:t>
      </w:r>
      <w:r w:rsidRPr="007B733F">
        <w:rPr>
          <w:vertAlign w:val="superscript"/>
        </w:rPr>
        <w:t>CreERT2</w:t>
      </w:r>
      <w:r w:rsidRPr="007B733F">
        <w:t>::Rosa26</w:t>
      </w:r>
      <w:r w:rsidRPr="007B733F">
        <w:rPr>
          <w:vertAlign w:val="superscript"/>
        </w:rPr>
        <w:t>ChR2</w:t>
      </w:r>
      <w:r w:rsidRPr="007B733F">
        <w:t> mice upon stimulation with 473</w:t>
      </w:r>
      <w:r w:rsidRPr="007B733F">
        <w:rPr>
          <w:rFonts w:ascii="MS Gothic" w:eastAsia="MS Gothic" w:hAnsi="MS Gothic" w:cs="MS Gothic" w:hint="eastAsia"/>
        </w:rPr>
        <w:t> </w:t>
      </w:r>
      <w:r w:rsidRPr="007B733F">
        <w:t>nm blue light. No significant differences under baseline conditions and 48</w:t>
      </w:r>
      <w:r w:rsidRPr="007B733F">
        <w:rPr>
          <w:rFonts w:ascii="MS Gothic" w:eastAsia="MS Gothic" w:hAnsi="MS Gothic" w:cs="MS Gothic" w:hint="eastAsia"/>
        </w:rPr>
        <w:t> </w:t>
      </w:r>
      <w:r w:rsidRPr="007B733F">
        <w:t>h after CFA injection (Mann</w:t>
      </w:r>
      <w:r w:rsidRPr="007B733F">
        <w:rPr>
          <w:rFonts w:ascii="等线" w:eastAsia="等线" w:hAnsi="等线" w:cs="等线" w:hint="eastAsia"/>
        </w:rPr>
        <w:t>–</w:t>
      </w:r>
      <w:r w:rsidRPr="007B733F">
        <w:t>Whitney test;</w:t>
      </w:r>
      <w:r w:rsidRPr="007B733F">
        <w:rPr>
          <w:rFonts w:ascii="等线" w:eastAsia="等线" w:hAnsi="等线" w:cs="等线" w:hint="eastAsia"/>
        </w:rPr>
        <w:t> </w:t>
      </w:r>
      <w:r w:rsidRPr="007B733F">
        <w:rPr>
          <w:i/>
          <w:iCs/>
        </w:rPr>
        <w:t>p</w:t>
      </w:r>
      <w:r w:rsidRPr="007B733F">
        <w:rPr>
          <w:rFonts w:ascii="MS Gothic" w:eastAsia="MS Gothic" w:hAnsi="MS Gothic" w:cs="MS Gothic" w:hint="eastAsia"/>
        </w:rPr>
        <w:t> </w:t>
      </w:r>
      <w:r w:rsidRPr="007B733F">
        <w:t>=</w:t>
      </w:r>
      <w:r w:rsidRPr="007B733F">
        <w:rPr>
          <w:rFonts w:ascii="MS Gothic" w:eastAsia="MS Gothic" w:hAnsi="MS Gothic" w:cs="MS Gothic" w:hint="eastAsia"/>
        </w:rPr>
        <w:t> </w:t>
      </w:r>
      <w:r w:rsidRPr="007B733F">
        <w:t>0.886).</w:t>
      </w:r>
      <w:r w:rsidRPr="007B733F">
        <w:rPr>
          <w:rFonts w:ascii="等线" w:eastAsia="等线" w:hAnsi="等线" w:cs="等线" w:hint="eastAsia"/>
        </w:rPr>
        <w:t> </w:t>
      </w:r>
      <w:r w:rsidRPr="007B733F">
        <w:rPr>
          <w:b/>
          <w:bCs/>
        </w:rPr>
        <w:t>f</w:t>
      </w:r>
      <w:r w:rsidRPr="007B733F">
        <w:t xml:space="preserve"> Schematic of SNI and behavioral tests following ablation of </w:t>
      </w:r>
      <w:proofErr w:type="spellStart"/>
      <w:r w:rsidRPr="007B733F">
        <w:t>TrkB</w:t>
      </w:r>
      <w:proofErr w:type="spellEnd"/>
      <w:r w:rsidRPr="007B733F">
        <w:t> neurons. </w:t>
      </w:r>
      <w:r w:rsidRPr="007B733F">
        <w:rPr>
          <w:b/>
          <w:bCs/>
        </w:rPr>
        <w:t>g</w:t>
      </w:r>
      <w:r w:rsidRPr="007B733F">
        <w:t xml:space="preserve"> von Frey mechanical thresholds indicating that ablation of </w:t>
      </w:r>
      <w:proofErr w:type="spellStart"/>
      <w:r w:rsidRPr="007B733F">
        <w:t>TrkB</w:t>
      </w:r>
      <w:proofErr w:type="spellEnd"/>
      <w:r w:rsidRPr="007B733F">
        <w:t xml:space="preserve"> neurons abolished the development of mechanical allodynia after SNI in </w:t>
      </w:r>
      <w:proofErr w:type="spellStart"/>
      <w:r w:rsidRPr="007B733F">
        <w:t>TrkB</w:t>
      </w:r>
      <w:proofErr w:type="spellEnd"/>
      <w:r w:rsidRPr="007B733F">
        <w:rPr>
          <w:vertAlign w:val="superscript"/>
        </w:rPr>
        <w:t>++CreERT2</w:t>
      </w:r>
      <w:r w:rsidRPr="007B733F">
        <w:t>::</w:t>
      </w:r>
      <w:proofErr w:type="spellStart"/>
      <w:r w:rsidRPr="007B733F">
        <w:t>Avil</w:t>
      </w:r>
      <w:r w:rsidRPr="007B733F">
        <w:rPr>
          <w:vertAlign w:val="superscript"/>
        </w:rPr>
        <w:t>iDTR</w:t>
      </w:r>
      <w:proofErr w:type="spellEnd"/>
      <w:r w:rsidRPr="007B733F">
        <w:t xml:space="preserve"> mice (white circles) as compared to </w:t>
      </w:r>
      <w:proofErr w:type="spellStart"/>
      <w:r w:rsidRPr="007B733F">
        <w:t>Avil</w:t>
      </w:r>
      <w:r w:rsidRPr="007B733F">
        <w:rPr>
          <w:vertAlign w:val="superscript"/>
        </w:rPr>
        <w:t>iDTR</w:t>
      </w:r>
      <w:proofErr w:type="spellEnd"/>
      <w:r w:rsidRPr="007B733F">
        <w:t> controls (black circles) (</w:t>
      </w:r>
      <w:r w:rsidRPr="007B733F">
        <w:rPr>
          <w:i/>
          <w:iCs/>
        </w:rPr>
        <w:t>n</w:t>
      </w:r>
      <w:r w:rsidRPr="007B733F">
        <w:rPr>
          <w:rFonts w:ascii="MS Gothic" w:eastAsia="MS Gothic" w:hAnsi="MS Gothic" w:cs="MS Gothic" w:hint="eastAsia"/>
        </w:rPr>
        <w:t> </w:t>
      </w:r>
      <w:r w:rsidRPr="007B733F">
        <w:t>=</w:t>
      </w:r>
      <w:r w:rsidRPr="007B733F">
        <w:rPr>
          <w:rFonts w:ascii="MS Gothic" w:eastAsia="MS Gothic" w:hAnsi="MS Gothic" w:cs="MS Gothic" w:hint="eastAsia"/>
        </w:rPr>
        <w:t> </w:t>
      </w:r>
      <w:r w:rsidRPr="007B733F">
        <w:t>7 for both sets, two-way RM ANOVA;</w:t>
      </w:r>
      <w:r w:rsidRPr="007B733F">
        <w:rPr>
          <w:rFonts w:ascii="等线" w:eastAsia="等线" w:hAnsi="等线" w:cs="等线" w:hint="eastAsia"/>
        </w:rPr>
        <w:t> </w:t>
      </w:r>
      <w:r w:rsidRPr="007B733F">
        <w:rPr>
          <w:i/>
          <w:iCs/>
        </w:rPr>
        <w:t>p</w:t>
      </w:r>
      <w:r w:rsidRPr="007B733F">
        <w:rPr>
          <w:rFonts w:ascii="MS Gothic" w:eastAsia="MS Gothic" w:hAnsi="MS Gothic" w:cs="MS Gothic" w:hint="eastAsia"/>
        </w:rPr>
        <w:t> </w:t>
      </w:r>
      <w:r w:rsidRPr="007B733F">
        <w:t>=</w:t>
      </w:r>
      <w:r w:rsidRPr="007B733F">
        <w:rPr>
          <w:rFonts w:ascii="MS Gothic" w:eastAsia="MS Gothic" w:hAnsi="MS Gothic" w:cs="MS Gothic" w:hint="eastAsia"/>
        </w:rPr>
        <w:t> </w:t>
      </w:r>
      <w:r w:rsidRPr="007B733F">
        <w:t xml:space="preserve">0.001 followed by a Bonferroni post hoc test). Sham-operated mice (grey circles) did not develop mechanical </w:t>
      </w:r>
      <w:r w:rsidRPr="007B733F">
        <w:lastRenderedPageBreak/>
        <w:t>hypersensitivity.</w:t>
      </w:r>
      <w:r w:rsidRPr="007B733F">
        <w:rPr>
          <w:rFonts w:ascii="等线" w:eastAsia="等线" w:hAnsi="等线" w:cs="等线" w:hint="eastAsia"/>
        </w:rPr>
        <w:t> </w:t>
      </w:r>
      <w:r w:rsidRPr="007B733F">
        <w:rPr>
          <w:b/>
          <w:bCs/>
        </w:rPr>
        <w:t>h</w:t>
      </w:r>
      <w:r w:rsidRPr="007B733F">
        <w:t>, </w:t>
      </w:r>
      <w:proofErr w:type="spellStart"/>
      <w:r w:rsidRPr="007B733F">
        <w:rPr>
          <w:b/>
          <w:bCs/>
        </w:rPr>
        <w:t>i</w:t>
      </w:r>
      <w:proofErr w:type="spellEnd"/>
      <w:r w:rsidRPr="007B733F">
        <w:t> Reduced dynamic allodynia in ablated TrkB</w:t>
      </w:r>
      <w:r w:rsidRPr="007B733F">
        <w:rPr>
          <w:vertAlign w:val="superscript"/>
        </w:rPr>
        <w:t>CreERT2</w:t>
      </w:r>
      <w:r w:rsidRPr="007B733F">
        <w:t>::</w:t>
      </w:r>
      <w:proofErr w:type="spellStart"/>
      <w:r w:rsidRPr="007B733F">
        <w:t>Avil</w:t>
      </w:r>
      <w:r w:rsidRPr="007B733F">
        <w:rPr>
          <w:vertAlign w:val="superscript"/>
        </w:rPr>
        <w:t>iDTR</w:t>
      </w:r>
      <w:proofErr w:type="spellEnd"/>
      <w:r w:rsidRPr="007B733F">
        <w:t> mice (white bar) as compared to littermate controls (black bar; </w:t>
      </w:r>
      <w:r w:rsidRPr="007B733F">
        <w:rPr>
          <w:i/>
          <w:iCs/>
        </w:rPr>
        <w:t>t</w:t>
      </w:r>
      <w:r w:rsidRPr="007B733F">
        <w:t>-test </w:t>
      </w:r>
      <w:r w:rsidRPr="007B733F">
        <w:rPr>
          <w:i/>
          <w:iCs/>
        </w:rPr>
        <w:t>p</w:t>
      </w:r>
      <w:r w:rsidRPr="007B733F">
        <w:rPr>
          <w:rFonts w:ascii="MS Gothic" w:eastAsia="MS Gothic" w:hAnsi="MS Gothic" w:cs="MS Gothic" w:hint="eastAsia"/>
        </w:rPr>
        <w:t> </w:t>
      </w:r>
      <w:r w:rsidRPr="007B733F">
        <w:t>=</w:t>
      </w:r>
      <w:r w:rsidRPr="007B733F">
        <w:rPr>
          <w:rFonts w:ascii="MS Gothic" w:eastAsia="MS Gothic" w:hAnsi="MS Gothic" w:cs="MS Gothic" w:hint="eastAsia"/>
        </w:rPr>
        <w:t> </w:t>
      </w:r>
      <w:r w:rsidRPr="007B733F">
        <w:t>0.016) stimulated with a</w:t>
      </w:r>
      <w:r w:rsidRPr="007B733F">
        <w:rPr>
          <w:rFonts w:ascii="等线" w:eastAsia="等线" w:hAnsi="等线" w:cs="等线" w:hint="eastAsia"/>
        </w:rPr>
        <w:t> </w:t>
      </w:r>
      <w:r w:rsidRPr="007B733F">
        <w:rPr>
          <w:b/>
          <w:bCs/>
        </w:rPr>
        <w:t>h</w:t>
      </w:r>
      <w:r w:rsidRPr="007B733F">
        <w:t> brush or </w:t>
      </w:r>
      <w:proofErr w:type="spellStart"/>
      <w:r w:rsidRPr="007B733F">
        <w:rPr>
          <w:b/>
          <w:bCs/>
        </w:rPr>
        <w:t>i</w:t>
      </w:r>
      <w:proofErr w:type="spellEnd"/>
      <w:r w:rsidRPr="007B733F">
        <w:t> cotton swab. Sham-operated mice did not develop dynamic allodynia. </w:t>
      </w:r>
      <w:r w:rsidRPr="007B733F">
        <w:rPr>
          <w:b/>
          <w:bCs/>
        </w:rPr>
        <w:t>j</w:t>
      </w:r>
      <w:r w:rsidRPr="007B733F">
        <w:t> Nociceptive behavior evoked by optogenetic stimulation of the paws of Rosa26</w:t>
      </w:r>
      <w:r w:rsidRPr="007B733F">
        <w:rPr>
          <w:vertAlign w:val="superscript"/>
        </w:rPr>
        <w:t>ChR2</w:t>
      </w:r>
      <w:r w:rsidRPr="007B733F">
        <w:t> mice without Cre (black bars) and TrkB</w:t>
      </w:r>
      <w:r w:rsidRPr="007B733F">
        <w:rPr>
          <w:vertAlign w:val="superscript"/>
        </w:rPr>
        <w:t>CreERT2</w:t>
      </w:r>
      <w:r w:rsidRPr="007B733F">
        <w:t>::Rosa26</w:t>
      </w:r>
      <w:r w:rsidRPr="007B733F">
        <w:rPr>
          <w:vertAlign w:val="superscript"/>
        </w:rPr>
        <w:t>ChR2</w:t>
      </w:r>
      <w:r w:rsidRPr="007B733F">
        <w:t> (white bars) mice after SNI, or ipsilateral paws (grey bars) of sham-operated mice (two-way RM ANOVA; </w:t>
      </w:r>
      <w:r w:rsidRPr="007B733F">
        <w:rPr>
          <w:i/>
          <w:iCs/>
        </w:rPr>
        <w:t>p</w:t>
      </w:r>
      <w:r w:rsidRPr="007B733F">
        <w:rPr>
          <w:rFonts w:ascii="MS Gothic" w:eastAsia="MS Gothic" w:hAnsi="MS Gothic" w:cs="MS Gothic" w:hint="eastAsia"/>
        </w:rPr>
        <w:t> </w:t>
      </w:r>
      <w:r w:rsidRPr="007B733F">
        <w:t>=</w:t>
      </w:r>
      <w:r w:rsidRPr="007B733F">
        <w:rPr>
          <w:rFonts w:ascii="MS Gothic" w:eastAsia="MS Gothic" w:hAnsi="MS Gothic" w:cs="MS Gothic" w:hint="eastAsia"/>
        </w:rPr>
        <w:t> </w:t>
      </w:r>
      <w:r w:rsidRPr="007B733F">
        <w:t>0.001).</w:t>
      </w:r>
      <w:r w:rsidRPr="007B733F">
        <w:rPr>
          <w:rFonts w:ascii="等线" w:eastAsia="等线" w:hAnsi="等线" w:cs="等线" w:hint="eastAsia"/>
        </w:rPr>
        <w:t> </w:t>
      </w:r>
      <w:r w:rsidRPr="007B733F">
        <w:rPr>
          <w:b/>
          <w:bCs/>
        </w:rPr>
        <w:t>k</w:t>
      </w:r>
      <w:r w:rsidRPr="007B733F">
        <w:t> Cross sections of lumbar spinal cord from TrkB</w:t>
      </w:r>
      <w:r w:rsidRPr="007B733F">
        <w:rPr>
          <w:vertAlign w:val="superscript"/>
        </w:rPr>
        <w:t>CreERT2</w:t>
      </w:r>
      <w:r w:rsidRPr="007B733F">
        <w:t>::Rosa26</w:t>
      </w:r>
      <w:r w:rsidRPr="007B733F">
        <w:rPr>
          <w:vertAlign w:val="superscript"/>
        </w:rPr>
        <w:t>ChR2</w:t>
      </w:r>
      <w:r w:rsidRPr="007B733F">
        <w:t> mice labeled for c-</w:t>
      </w:r>
      <w:proofErr w:type="spellStart"/>
      <w:r w:rsidRPr="007B733F">
        <w:t>fos</w:t>
      </w:r>
      <w:proofErr w:type="spellEnd"/>
      <w:r w:rsidRPr="007B733F">
        <w:t xml:space="preserve"> (red) and IB4 (green) after 1</w:t>
      </w:r>
      <w:r w:rsidRPr="007B733F">
        <w:rPr>
          <w:rFonts w:ascii="MS Gothic" w:eastAsia="MS Gothic" w:hAnsi="MS Gothic" w:cs="MS Gothic" w:hint="eastAsia"/>
        </w:rPr>
        <w:t> </w:t>
      </w:r>
      <w:r w:rsidRPr="007B733F">
        <w:t>min exposure to 15</w:t>
      </w:r>
      <w:r w:rsidRPr="007B733F">
        <w:rPr>
          <w:rFonts w:ascii="MS Gothic" w:eastAsia="MS Gothic" w:hAnsi="MS Gothic" w:cs="MS Gothic" w:hint="eastAsia"/>
        </w:rPr>
        <w:t> </w:t>
      </w:r>
      <w:r w:rsidRPr="007B733F">
        <w:t>Hz blue light. Representation of section taken from an uninjured mouse and a section from an injured mouse at 7 days post SNI.</w:t>
      </w:r>
      <w:r w:rsidRPr="007B733F">
        <w:rPr>
          <w:rFonts w:ascii="等线" w:eastAsia="等线" w:hAnsi="等线" w:cs="等线" w:hint="eastAsia"/>
        </w:rPr>
        <w:t> </w:t>
      </w:r>
      <w:r w:rsidRPr="007B733F">
        <w:rPr>
          <w:b/>
          <w:bCs/>
        </w:rPr>
        <w:t>l</w:t>
      </w:r>
      <w:r w:rsidRPr="007B733F">
        <w:t> Quantification of the number of c-</w:t>
      </w:r>
      <w:proofErr w:type="spellStart"/>
      <w:r w:rsidRPr="007B733F">
        <w:t>fos</w:t>
      </w:r>
      <w:proofErr w:type="spellEnd"/>
      <w:r w:rsidRPr="007B733F">
        <w:t xml:space="preserve"> positive cells in laminae I, II, and III/V of the lumbar spinal cord within a 40</w:t>
      </w:r>
      <w:r w:rsidRPr="007B733F">
        <w:rPr>
          <w:rFonts w:ascii="MS Gothic" w:eastAsia="MS Gothic" w:hAnsi="MS Gothic" w:cs="MS Gothic" w:hint="eastAsia"/>
        </w:rPr>
        <w:t> </w:t>
      </w:r>
      <w:r w:rsidRPr="007B733F">
        <w:rPr>
          <w:rFonts w:ascii="等线" w:eastAsia="等线" w:hAnsi="等线" w:cs="等线" w:hint="eastAsia"/>
        </w:rPr>
        <w:t>μ</w:t>
      </w:r>
      <w:r w:rsidRPr="007B733F">
        <w:t>m section. Data are shown for SNI, non-injured and sham-operated TrkB</w:t>
      </w:r>
      <w:r w:rsidRPr="007B733F">
        <w:rPr>
          <w:vertAlign w:val="superscript"/>
        </w:rPr>
        <w:t>CreERT</w:t>
      </w:r>
      <w:proofErr w:type="gramStart"/>
      <w:r w:rsidRPr="007B733F">
        <w:rPr>
          <w:vertAlign w:val="superscript"/>
        </w:rPr>
        <w:t>2</w:t>
      </w:r>
      <w:r w:rsidRPr="007B733F">
        <w:t>::</w:t>
      </w:r>
      <w:proofErr w:type="gramEnd"/>
      <w:r w:rsidRPr="007B733F">
        <w:t>Rosa26</w:t>
      </w:r>
      <w:r w:rsidRPr="007B733F">
        <w:rPr>
          <w:vertAlign w:val="superscript"/>
        </w:rPr>
        <w:t>ChR2</w:t>
      </w:r>
      <w:r w:rsidRPr="007B733F">
        <w:t> mice with or without light, and control SNI Rosa26</w:t>
      </w:r>
      <w:r w:rsidRPr="007B733F">
        <w:rPr>
          <w:vertAlign w:val="superscript"/>
        </w:rPr>
        <w:t>ChR2</w:t>
      </w:r>
      <w:r w:rsidRPr="007B733F">
        <w:t> mice without Cre. Baseline indicates pre-ablation and pre-treatment. Error bars indicate SEM. Scale bars in </w:t>
      </w:r>
      <w:r w:rsidRPr="007B733F">
        <w:rPr>
          <w:b/>
          <w:bCs/>
        </w:rPr>
        <w:t>k</w:t>
      </w:r>
      <w:r w:rsidRPr="007B733F">
        <w:t>, 40</w:t>
      </w:r>
      <w:r w:rsidRPr="007B733F">
        <w:rPr>
          <w:rFonts w:ascii="MS Gothic" w:eastAsia="MS Gothic" w:hAnsi="MS Gothic" w:cs="MS Gothic" w:hint="eastAsia"/>
        </w:rPr>
        <w:t> </w:t>
      </w:r>
      <w:r w:rsidRPr="007B733F">
        <w:rPr>
          <w:rFonts w:ascii="等线" w:eastAsia="等线" w:hAnsi="等线" w:cs="等线" w:hint="eastAsia"/>
        </w:rPr>
        <w:t>μ</w:t>
      </w:r>
      <w:r w:rsidRPr="007B733F">
        <w:t>m</w:t>
      </w:r>
      <w:r>
        <w:rPr>
          <w:rFonts w:hint="eastAsia"/>
        </w:rPr>
        <w:t>.</w:t>
      </w:r>
    </w:p>
    <w:p w14:paraId="6BDFD3D9" w14:textId="77777777" w:rsidR="007B733F" w:rsidRDefault="007B733F" w:rsidP="00084556"/>
    <w:p w14:paraId="163E9C0B" w14:textId="2981A181" w:rsidR="007B733F" w:rsidRDefault="007B733F" w:rsidP="00084556">
      <w:r>
        <w:rPr>
          <w:rFonts w:hint="eastAsia"/>
          <w:noProof/>
        </w:rPr>
        <w:drawing>
          <wp:inline distT="0" distB="0" distL="0" distR="0" wp14:anchorId="3F25345F" wp14:editId="0F1C7AE4">
            <wp:extent cx="5651373" cy="4694352"/>
            <wp:effectExtent l="0" t="0" r="6985" b="0"/>
            <wp:docPr id="15881895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61108" cy="4702439"/>
                    </a:xfrm>
                    <a:prstGeom prst="rect">
                      <a:avLst/>
                    </a:prstGeom>
                    <a:noFill/>
                  </pic:spPr>
                </pic:pic>
              </a:graphicData>
            </a:graphic>
          </wp:inline>
        </w:drawing>
      </w:r>
    </w:p>
    <w:p w14:paraId="5A7826E2" w14:textId="2A9DF85A" w:rsidR="007B733F" w:rsidRDefault="004E1E81" w:rsidP="00084556">
      <w:r w:rsidRPr="004E1E81">
        <w:t xml:space="preserve">Photoablation of the sciatic nerve shows requirement of </w:t>
      </w:r>
      <w:proofErr w:type="spellStart"/>
      <w:r w:rsidRPr="004E1E81">
        <w:t>TrkB</w:t>
      </w:r>
      <w:proofErr w:type="spellEnd"/>
      <w:r w:rsidRPr="004E1E81">
        <w:rPr>
          <w:vertAlign w:val="superscript"/>
        </w:rPr>
        <w:t>+</w:t>
      </w:r>
      <w:r w:rsidRPr="004E1E81">
        <w:t> neurons in mediating allodynia. </w:t>
      </w:r>
      <w:r w:rsidRPr="004E1E81">
        <w:rPr>
          <w:b/>
          <w:bCs/>
        </w:rPr>
        <w:t>a</w:t>
      </w:r>
      <w:r w:rsidRPr="004E1E81">
        <w:t>–</w:t>
      </w:r>
      <w:r w:rsidRPr="004E1E81">
        <w:rPr>
          <w:b/>
          <w:bCs/>
        </w:rPr>
        <w:t>f</w:t>
      </w:r>
      <w:r w:rsidRPr="004E1E81">
        <w:t xml:space="preserve"> Representative images of the sciatic nerve labeled for </w:t>
      </w:r>
      <w:proofErr w:type="spellStart"/>
      <w:r w:rsidRPr="004E1E81">
        <w:t>TrkB</w:t>
      </w:r>
      <w:proofErr w:type="spellEnd"/>
      <w:r w:rsidRPr="004E1E81">
        <w:t xml:space="preserve"> in green, DAPI in blue, and CD34 or S100 in red. Longitudinal sections of the nerve show reduction in </w:t>
      </w:r>
      <w:proofErr w:type="spellStart"/>
      <w:r w:rsidRPr="004E1E81">
        <w:t>TrkB</w:t>
      </w:r>
      <w:proofErr w:type="spellEnd"/>
      <w:r w:rsidRPr="004E1E81">
        <w:rPr>
          <w:vertAlign w:val="superscript"/>
        </w:rPr>
        <w:t>+</w:t>
      </w:r>
      <w:r w:rsidRPr="004E1E81">
        <w:t> fibers, but no detectable CD34 in </w:t>
      </w:r>
      <w:r w:rsidRPr="004E1E81">
        <w:rPr>
          <w:b/>
          <w:bCs/>
        </w:rPr>
        <w:t>a</w:t>
      </w:r>
      <w:r w:rsidRPr="004E1E81">
        <w:t> non-ablated control and </w:t>
      </w:r>
      <w:r w:rsidRPr="004E1E81">
        <w:rPr>
          <w:b/>
          <w:bCs/>
        </w:rPr>
        <w:t>b</w:t>
      </w:r>
      <w:r w:rsidRPr="004E1E81">
        <w:t> </w:t>
      </w:r>
      <w:proofErr w:type="spellStart"/>
      <w:r w:rsidRPr="004E1E81">
        <w:t>photoablated</w:t>
      </w:r>
      <w:proofErr w:type="spellEnd"/>
      <w:r w:rsidRPr="004E1E81">
        <w:t xml:space="preserve"> mice. Cross-section of the sciatic nerve from </w:t>
      </w:r>
      <w:r w:rsidRPr="004E1E81">
        <w:rPr>
          <w:b/>
          <w:bCs/>
        </w:rPr>
        <w:t>c</w:t>
      </w:r>
      <w:r w:rsidRPr="004E1E81">
        <w:t> control and </w:t>
      </w:r>
      <w:r w:rsidRPr="004E1E81">
        <w:rPr>
          <w:b/>
          <w:bCs/>
        </w:rPr>
        <w:t>d</w:t>
      </w:r>
      <w:r w:rsidRPr="004E1E81">
        <w:t> </w:t>
      </w:r>
      <w:proofErr w:type="spellStart"/>
      <w:r w:rsidRPr="004E1E81">
        <w:t>photoablated</w:t>
      </w:r>
      <w:proofErr w:type="spellEnd"/>
      <w:r w:rsidRPr="004E1E81">
        <w:t xml:space="preserve"> mice shows reduction in </w:t>
      </w:r>
      <w:proofErr w:type="spellStart"/>
      <w:r w:rsidRPr="004E1E81">
        <w:t>TrkB</w:t>
      </w:r>
      <w:proofErr w:type="spellEnd"/>
      <w:r w:rsidRPr="004E1E81">
        <w:rPr>
          <w:vertAlign w:val="superscript"/>
        </w:rPr>
        <w:t>+</w:t>
      </w:r>
      <w:r w:rsidRPr="004E1E81">
        <w:t xml:space="preserve"> fibers. No co-localization between </w:t>
      </w:r>
      <w:proofErr w:type="spellStart"/>
      <w:r w:rsidRPr="004E1E81">
        <w:t>TrkB</w:t>
      </w:r>
      <w:proofErr w:type="spellEnd"/>
      <w:r w:rsidRPr="004E1E81">
        <w:rPr>
          <w:vertAlign w:val="superscript"/>
        </w:rPr>
        <w:t>+</w:t>
      </w:r>
      <w:r w:rsidRPr="004E1E81">
        <w:t> fibers and S100+ cells in </w:t>
      </w:r>
      <w:r w:rsidRPr="004E1E81">
        <w:rPr>
          <w:b/>
          <w:bCs/>
        </w:rPr>
        <w:t>e</w:t>
      </w:r>
      <w:r w:rsidRPr="004E1E81">
        <w:t xml:space="preserve"> longitudinal </w:t>
      </w:r>
      <w:r w:rsidRPr="004E1E81">
        <w:lastRenderedPageBreak/>
        <w:t>sections and </w:t>
      </w:r>
      <w:r w:rsidRPr="004E1E81">
        <w:rPr>
          <w:b/>
          <w:bCs/>
        </w:rPr>
        <w:t>f</w:t>
      </w:r>
      <w:r w:rsidRPr="004E1E81">
        <w:t> cross-section of the nerve. </w:t>
      </w:r>
      <w:r w:rsidRPr="004E1E81">
        <w:rPr>
          <w:b/>
          <w:bCs/>
        </w:rPr>
        <w:t>g</w:t>
      </w:r>
      <w:r w:rsidRPr="004E1E81">
        <w:t xml:space="preserve"> Quantification of the numbers of </w:t>
      </w:r>
      <w:proofErr w:type="spellStart"/>
      <w:r w:rsidRPr="004E1E81">
        <w:t>TrkB</w:t>
      </w:r>
      <w:proofErr w:type="spellEnd"/>
      <w:r w:rsidRPr="004E1E81">
        <w:rPr>
          <w:vertAlign w:val="superscript"/>
        </w:rPr>
        <w:t>+</w:t>
      </w:r>
      <w:r w:rsidRPr="004E1E81">
        <w:t> fibers and DAPI labeled cells in cross sections of sciatic nerve. Behavioral sensitivity following BDNF</w:t>
      </w:r>
      <w:r w:rsidRPr="004E1E81">
        <w:rPr>
          <w:vertAlign w:val="superscript"/>
        </w:rPr>
        <w:t>SNAP</w:t>
      </w:r>
      <w:r w:rsidRPr="004E1E81">
        <w:t>-IR700-mediated ablation in the sciatic nerve: </w:t>
      </w:r>
      <w:r w:rsidRPr="004E1E81">
        <w:rPr>
          <w:b/>
          <w:bCs/>
        </w:rPr>
        <w:t>h</w:t>
      </w:r>
      <w:r w:rsidRPr="004E1E81">
        <w:t> acetone drop test (</w:t>
      </w:r>
      <w:r w:rsidRPr="004E1E81">
        <w:rPr>
          <w:i/>
          <w:iCs/>
        </w:rPr>
        <w:t>t</w:t>
      </w:r>
      <w:r w:rsidRPr="004E1E81">
        <w:t>-test; </w:t>
      </w:r>
      <w:r w:rsidRPr="004E1E81">
        <w:rPr>
          <w:i/>
          <w:iCs/>
        </w:rPr>
        <w:t>p</w:t>
      </w:r>
      <w:r w:rsidRPr="004E1E81">
        <w:rPr>
          <w:rFonts w:ascii="MS Gothic" w:eastAsia="MS Gothic" w:hAnsi="MS Gothic" w:cs="MS Gothic" w:hint="eastAsia"/>
        </w:rPr>
        <w:t> </w:t>
      </w:r>
      <w:r w:rsidRPr="004E1E81">
        <w:t>=</w:t>
      </w:r>
      <w:r w:rsidRPr="004E1E81">
        <w:rPr>
          <w:rFonts w:ascii="MS Gothic" w:eastAsia="MS Gothic" w:hAnsi="MS Gothic" w:cs="MS Gothic" w:hint="eastAsia"/>
        </w:rPr>
        <w:t> </w:t>
      </w:r>
      <w:r w:rsidRPr="004E1E81">
        <w:t>0.151),</w:t>
      </w:r>
      <w:r w:rsidRPr="004E1E81">
        <w:rPr>
          <w:rFonts w:ascii="等线" w:eastAsia="等线" w:hAnsi="等线" w:cs="等线" w:hint="eastAsia"/>
        </w:rPr>
        <w:t> </w:t>
      </w:r>
      <w:proofErr w:type="spellStart"/>
      <w:r w:rsidRPr="004E1E81">
        <w:rPr>
          <w:b/>
          <w:bCs/>
        </w:rPr>
        <w:t>i</w:t>
      </w:r>
      <w:proofErr w:type="spellEnd"/>
      <w:r w:rsidRPr="004E1E81">
        <w:t> radiant heat test (</w:t>
      </w:r>
      <w:r w:rsidRPr="004E1E81">
        <w:rPr>
          <w:i/>
          <w:iCs/>
        </w:rPr>
        <w:t>t</w:t>
      </w:r>
      <w:r w:rsidRPr="004E1E81">
        <w:t>-test; </w:t>
      </w:r>
      <w:r w:rsidRPr="004E1E81">
        <w:rPr>
          <w:i/>
          <w:iCs/>
        </w:rPr>
        <w:t>p</w:t>
      </w:r>
      <w:r w:rsidRPr="004E1E81">
        <w:rPr>
          <w:rFonts w:ascii="MS Gothic" w:eastAsia="MS Gothic" w:hAnsi="MS Gothic" w:cs="MS Gothic" w:hint="eastAsia"/>
        </w:rPr>
        <w:t> </w:t>
      </w:r>
      <w:r w:rsidRPr="004E1E81">
        <w:t>=</w:t>
      </w:r>
      <w:r w:rsidRPr="004E1E81">
        <w:rPr>
          <w:rFonts w:ascii="MS Gothic" w:eastAsia="MS Gothic" w:hAnsi="MS Gothic" w:cs="MS Gothic" w:hint="eastAsia"/>
        </w:rPr>
        <w:t> </w:t>
      </w:r>
      <w:r w:rsidRPr="004E1E81">
        <w:t>0.829), and</w:t>
      </w:r>
      <w:r w:rsidRPr="004E1E81">
        <w:rPr>
          <w:rFonts w:ascii="等线" w:eastAsia="等线" w:hAnsi="等线" w:cs="等线" w:hint="eastAsia"/>
        </w:rPr>
        <w:t> </w:t>
      </w:r>
      <w:r w:rsidRPr="004E1E81">
        <w:rPr>
          <w:b/>
          <w:bCs/>
        </w:rPr>
        <w:t>j</w:t>
      </w:r>
      <w:r w:rsidRPr="004E1E81">
        <w:t> pin-prick test (</w:t>
      </w:r>
      <w:r w:rsidRPr="004E1E81">
        <w:rPr>
          <w:i/>
          <w:iCs/>
        </w:rPr>
        <w:t>t</w:t>
      </w:r>
      <w:r w:rsidRPr="004E1E81">
        <w:t>-test; </w:t>
      </w:r>
      <w:r w:rsidRPr="004E1E81">
        <w:rPr>
          <w:i/>
          <w:iCs/>
        </w:rPr>
        <w:t>p</w:t>
      </w:r>
      <w:r w:rsidRPr="004E1E81">
        <w:rPr>
          <w:rFonts w:ascii="MS Gothic" w:eastAsia="MS Gothic" w:hAnsi="MS Gothic" w:cs="MS Gothic" w:hint="eastAsia"/>
        </w:rPr>
        <w:t> </w:t>
      </w:r>
      <w:r w:rsidRPr="004E1E81">
        <w:t>=</w:t>
      </w:r>
      <w:r w:rsidRPr="004E1E81">
        <w:rPr>
          <w:rFonts w:ascii="MS Gothic" w:eastAsia="MS Gothic" w:hAnsi="MS Gothic" w:cs="MS Gothic" w:hint="eastAsia"/>
        </w:rPr>
        <w:t> </w:t>
      </w:r>
      <w:r w:rsidRPr="004E1E81">
        <w:t>0.548) are not altered by nerve photoablation. However, sensitivity to</w:t>
      </w:r>
      <w:r w:rsidRPr="004E1E81">
        <w:rPr>
          <w:rFonts w:ascii="等线" w:eastAsia="等线" w:hAnsi="等线" w:cs="等线" w:hint="eastAsia"/>
        </w:rPr>
        <w:t> </w:t>
      </w:r>
      <w:r w:rsidRPr="004E1E81">
        <w:rPr>
          <w:b/>
          <w:bCs/>
        </w:rPr>
        <w:t>k</w:t>
      </w:r>
      <w:r w:rsidRPr="004E1E81">
        <w:t> cotton swab (</w:t>
      </w:r>
      <w:r w:rsidRPr="004E1E81">
        <w:rPr>
          <w:i/>
          <w:iCs/>
        </w:rPr>
        <w:t>t</w:t>
      </w:r>
      <w:r w:rsidRPr="004E1E81">
        <w:t>-test; </w:t>
      </w:r>
      <w:r w:rsidRPr="004E1E81">
        <w:rPr>
          <w:i/>
          <w:iCs/>
        </w:rPr>
        <w:t>p</w:t>
      </w:r>
      <w:r w:rsidRPr="004E1E81">
        <w:rPr>
          <w:rFonts w:ascii="MS Gothic" w:eastAsia="MS Gothic" w:hAnsi="MS Gothic" w:cs="MS Gothic" w:hint="eastAsia"/>
        </w:rPr>
        <w:t> </w:t>
      </w:r>
      <w:r w:rsidRPr="004E1E81">
        <w:t>=</w:t>
      </w:r>
      <w:r w:rsidRPr="004E1E81">
        <w:rPr>
          <w:rFonts w:ascii="MS Gothic" w:eastAsia="MS Gothic" w:hAnsi="MS Gothic" w:cs="MS Gothic" w:hint="eastAsia"/>
        </w:rPr>
        <w:t> </w:t>
      </w:r>
      <w:r w:rsidRPr="004E1E81">
        <w:t>0.001) in control animals, and</w:t>
      </w:r>
      <w:r w:rsidRPr="004E1E81">
        <w:rPr>
          <w:rFonts w:ascii="等线" w:eastAsia="等线" w:hAnsi="等线" w:cs="等线" w:hint="eastAsia"/>
        </w:rPr>
        <w:t> </w:t>
      </w:r>
      <w:r w:rsidRPr="004E1E81">
        <w:rPr>
          <w:b/>
          <w:bCs/>
        </w:rPr>
        <w:t>l</w:t>
      </w:r>
      <w:r w:rsidRPr="004E1E81">
        <w:t> light-evoked behavior in TrkB</w:t>
      </w:r>
      <w:r w:rsidRPr="004E1E81">
        <w:rPr>
          <w:vertAlign w:val="superscript"/>
        </w:rPr>
        <w:t>CreERT2</w:t>
      </w:r>
      <w:r w:rsidRPr="004E1E81">
        <w:t>::Rosa26</w:t>
      </w:r>
      <w:r w:rsidRPr="004E1E81">
        <w:rPr>
          <w:vertAlign w:val="superscript"/>
        </w:rPr>
        <w:t>ChR2</w:t>
      </w:r>
      <w:r w:rsidRPr="004E1E81">
        <w:t> mice with SNI, are reduced by nerve photoablation (two-way RM ANOVA; </w:t>
      </w:r>
      <w:r w:rsidRPr="004E1E81">
        <w:rPr>
          <w:i/>
          <w:iCs/>
        </w:rPr>
        <w:t>p</w:t>
      </w:r>
      <w:r w:rsidRPr="004E1E81">
        <w:rPr>
          <w:rFonts w:ascii="MS Gothic" w:eastAsia="MS Gothic" w:hAnsi="MS Gothic" w:cs="MS Gothic" w:hint="eastAsia"/>
        </w:rPr>
        <w:t> </w:t>
      </w:r>
      <w:r w:rsidRPr="004E1E81">
        <w:t>=</w:t>
      </w:r>
      <w:r w:rsidRPr="004E1E81">
        <w:rPr>
          <w:rFonts w:ascii="MS Gothic" w:eastAsia="MS Gothic" w:hAnsi="MS Gothic" w:cs="MS Gothic" w:hint="eastAsia"/>
        </w:rPr>
        <w:t> </w:t>
      </w:r>
      <w:r w:rsidRPr="004E1E81">
        <w:t>0.002). White bars 5</w:t>
      </w:r>
      <w:r w:rsidRPr="004E1E81">
        <w:rPr>
          <w:rFonts w:ascii="MS Gothic" w:eastAsia="MS Gothic" w:hAnsi="MS Gothic" w:cs="MS Gothic" w:hint="eastAsia"/>
        </w:rPr>
        <w:t> </w:t>
      </w:r>
      <w:r w:rsidRPr="004E1E81">
        <w:rPr>
          <w:rFonts w:ascii="等线" w:eastAsia="等线" w:hAnsi="等线" w:cs="等线" w:hint="eastAsia"/>
        </w:rPr>
        <w:t>µ</w:t>
      </w:r>
      <w:r w:rsidRPr="004E1E81">
        <w:t>M BDNF</w:t>
      </w:r>
      <w:r w:rsidRPr="004E1E81">
        <w:rPr>
          <w:vertAlign w:val="superscript"/>
        </w:rPr>
        <w:t>SNAP</w:t>
      </w:r>
      <w:r w:rsidRPr="004E1E81">
        <w:t>-IR700 at 200</w:t>
      </w:r>
      <w:r w:rsidRPr="004E1E81">
        <w:rPr>
          <w:rFonts w:ascii="MS Gothic" w:eastAsia="MS Gothic" w:hAnsi="MS Gothic" w:cs="MS Gothic" w:hint="eastAsia"/>
        </w:rPr>
        <w:t> </w:t>
      </w:r>
      <w:r w:rsidRPr="004E1E81">
        <w:t>J/cm</w:t>
      </w:r>
      <w:r w:rsidRPr="004E1E81">
        <w:rPr>
          <w:vertAlign w:val="superscript"/>
        </w:rPr>
        <w:t>2</w:t>
      </w:r>
      <w:r w:rsidRPr="004E1E81">
        <w:t>, black bars 5</w:t>
      </w:r>
      <w:r w:rsidRPr="004E1E81">
        <w:rPr>
          <w:rFonts w:ascii="MS Gothic" w:eastAsia="MS Gothic" w:hAnsi="MS Gothic" w:cs="MS Gothic" w:hint="eastAsia"/>
        </w:rPr>
        <w:t> </w:t>
      </w:r>
      <w:r w:rsidRPr="004E1E81">
        <w:rPr>
          <w:rFonts w:ascii="等线" w:eastAsia="等线" w:hAnsi="等线" w:cs="等线" w:hint="eastAsia"/>
        </w:rPr>
        <w:t>µ</w:t>
      </w:r>
      <w:r w:rsidRPr="004E1E81">
        <w:t>M IR700 at 200</w:t>
      </w:r>
      <w:r w:rsidRPr="004E1E81">
        <w:rPr>
          <w:rFonts w:ascii="MS Gothic" w:eastAsia="MS Gothic" w:hAnsi="MS Gothic" w:cs="MS Gothic" w:hint="eastAsia"/>
        </w:rPr>
        <w:t> </w:t>
      </w:r>
      <w:r w:rsidRPr="004E1E81">
        <w:t>J/cm</w:t>
      </w:r>
      <w:r w:rsidRPr="004E1E81">
        <w:rPr>
          <w:vertAlign w:val="superscript"/>
        </w:rPr>
        <w:t>2</w:t>
      </w:r>
      <w:r w:rsidRPr="004E1E81">
        <w:t>. Baseline indicates pre-ablation and pre-treatment. Error bars indicate SEM. Scale bars, </w:t>
      </w:r>
      <w:r w:rsidRPr="004E1E81">
        <w:rPr>
          <w:b/>
          <w:bCs/>
        </w:rPr>
        <w:t>a</w:t>
      </w:r>
      <w:r w:rsidRPr="004E1E81">
        <w:t>–</w:t>
      </w:r>
      <w:r w:rsidRPr="004E1E81">
        <w:rPr>
          <w:b/>
          <w:bCs/>
        </w:rPr>
        <w:t>d</w:t>
      </w:r>
      <w:r w:rsidRPr="004E1E81">
        <w:t> 40</w:t>
      </w:r>
      <w:r w:rsidRPr="004E1E81">
        <w:rPr>
          <w:rFonts w:ascii="MS Gothic" w:eastAsia="MS Gothic" w:hAnsi="MS Gothic" w:cs="MS Gothic" w:hint="eastAsia"/>
        </w:rPr>
        <w:t> </w:t>
      </w:r>
      <w:r w:rsidRPr="004E1E81">
        <w:rPr>
          <w:rFonts w:ascii="等线" w:eastAsia="等线" w:hAnsi="等线" w:cs="等线" w:hint="eastAsia"/>
        </w:rPr>
        <w:t>μ</w:t>
      </w:r>
      <w:r w:rsidRPr="004E1E81">
        <w:t>m,</w:t>
      </w:r>
      <w:r w:rsidRPr="004E1E81">
        <w:rPr>
          <w:rFonts w:ascii="等线" w:eastAsia="等线" w:hAnsi="等线" w:cs="等线" w:hint="eastAsia"/>
        </w:rPr>
        <w:t> </w:t>
      </w:r>
      <w:r w:rsidRPr="004E1E81">
        <w:rPr>
          <w:b/>
          <w:bCs/>
        </w:rPr>
        <w:t>e</w:t>
      </w:r>
      <w:r w:rsidRPr="004E1E81">
        <w:t> 10</w:t>
      </w:r>
      <w:r w:rsidRPr="004E1E81">
        <w:rPr>
          <w:rFonts w:ascii="MS Gothic" w:eastAsia="MS Gothic" w:hAnsi="MS Gothic" w:cs="MS Gothic" w:hint="eastAsia"/>
        </w:rPr>
        <w:t> </w:t>
      </w:r>
      <w:r w:rsidRPr="004E1E81">
        <w:rPr>
          <w:rFonts w:ascii="等线" w:eastAsia="等线" w:hAnsi="等线" w:cs="等线" w:hint="eastAsia"/>
        </w:rPr>
        <w:t>μ</w:t>
      </w:r>
      <w:r w:rsidRPr="004E1E81">
        <w:t>m</w:t>
      </w:r>
    </w:p>
    <w:p w14:paraId="69140BF9" w14:textId="77777777" w:rsidR="00454D99" w:rsidRDefault="00454D99" w:rsidP="00084556"/>
    <w:p w14:paraId="7540028A" w14:textId="77777777" w:rsidR="00454D99" w:rsidRDefault="00454D99" w:rsidP="00084556"/>
    <w:p w14:paraId="27E960EC" w14:textId="77777777" w:rsidR="00454D99" w:rsidRPr="00454D99" w:rsidRDefault="00454D99" w:rsidP="00454D99">
      <w:r w:rsidRPr="00454D99">
        <w:t>Behavioral testing</w:t>
      </w:r>
    </w:p>
    <w:p w14:paraId="3F3813FA" w14:textId="77777777" w:rsidR="00454D99" w:rsidRPr="00454D99" w:rsidRDefault="00454D99" w:rsidP="00454D99">
      <w:r w:rsidRPr="00454D99">
        <w:t>All behavior experiments were performed on adult male mice (&gt;8–10 weeks of age). For controls, littermates without the Cre were used. The experimenter was always blind to the genotype of the mice.</w:t>
      </w:r>
    </w:p>
    <w:p w14:paraId="65633A48" w14:textId="77777777" w:rsidR="00454D99" w:rsidRPr="00454D99" w:rsidRDefault="00454D99" w:rsidP="00454D99">
      <w:r w:rsidRPr="00454D99">
        <w:t>For testing the effect of evaporative cooling, an acetone drop test was performed. Mice were habituated for 30</w:t>
      </w:r>
      <w:r w:rsidRPr="00454D99">
        <w:rPr>
          <w:rFonts w:ascii="MS Gothic" w:eastAsia="MS Gothic" w:hAnsi="MS Gothic" w:cs="MS Gothic" w:hint="eastAsia"/>
        </w:rPr>
        <w:t> </w:t>
      </w:r>
      <w:r w:rsidRPr="00454D99">
        <w:t xml:space="preserve">min on an elevated platform with mesh flooring. A single drop of cold acetone was sprayed onto to the dorsal or the plantar side of the </w:t>
      </w:r>
      <w:proofErr w:type="spellStart"/>
      <w:r w:rsidRPr="00454D99">
        <w:t>hindpaw</w:t>
      </w:r>
      <w:proofErr w:type="spellEnd"/>
      <w:r w:rsidRPr="00454D99">
        <w:t xml:space="preserve"> of mice using a syringe without touching the paw of the mice</w:t>
      </w:r>
      <w:hyperlink r:id="rId12" w:anchor="ref-CR58" w:tooltip="Choi, Y., Yoon, Y. W., Na, H. S., Kim, S. H. &amp; Chung, J. M. Behavioral signs of ongoing pain and cold allodynia in a rat model of neuropathic pain. Pain 59, 369–376 (1994)." w:history="1">
        <w:r w:rsidRPr="00454D99">
          <w:rPr>
            <w:rStyle w:val="a7"/>
          </w:rPr>
          <w:t>58</w:t>
        </w:r>
      </w:hyperlink>
      <w:r w:rsidRPr="00454D99">
        <w:t>. The behavioral responses were scored according to the following scheme: 0</w:t>
      </w:r>
      <w:r w:rsidRPr="00454D99">
        <w:rPr>
          <w:rFonts w:ascii="MS Gothic" w:eastAsia="MS Gothic" w:hAnsi="MS Gothic" w:cs="MS Gothic" w:hint="eastAsia"/>
        </w:rPr>
        <w:t> </w:t>
      </w:r>
      <w:r w:rsidRPr="00454D99">
        <w:t>=</w:t>
      </w:r>
      <w:r w:rsidRPr="00454D99">
        <w:rPr>
          <w:rFonts w:ascii="MS Gothic" w:eastAsia="MS Gothic" w:hAnsi="MS Gothic" w:cs="MS Gothic" w:hint="eastAsia"/>
        </w:rPr>
        <w:t> </w:t>
      </w:r>
      <w:r w:rsidRPr="00454D99">
        <w:t>no response, 1</w:t>
      </w:r>
      <w:r w:rsidRPr="00454D99">
        <w:rPr>
          <w:rFonts w:ascii="MS Gothic" w:eastAsia="MS Gothic" w:hAnsi="MS Gothic" w:cs="MS Gothic" w:hint="eastAsia"/>
        </w:rPr>
        <w:t> </w:t>
      </w:r>
      <w:r w:rsidRPr="00454D99">
        <w:t>=</w:t>
      </w:r>
      <w:r w:rsidRPr="00454D99">
        <w:rPr>
          <w:rFonts w:ascii="MS Gothic" w:eastAsia="MS Gothic" w:hAnsi="MS Gothic" w:cs="MS Gothic" w:hint="eastAsia"/>
        </w:rPr>
        <w:t> </w:t>
      </w:r>
      <w:r w:rsidRPr="00454D99">
        <w:t>paw withdrawal or a single flick, 2</w:t>
      </w:r>
      <w:r w:rsidRPr="00454D99">
        <w:rPr>
          <w:rFonts w:ascii="MS Gothic" w:eastAsia="MS Gothic" w:hAnsi="MS Gothic" w:cs="MS Gothic" w:hint="eastAsia"/>
        </w:rPr>
        <w:t> </w:t>
      </w:r>
      <w:r w:rsidRPr="00454D99">
        <w:t>=</w:t>
      </w:r>
      <w:r w:rsidRPr="00454D99">
        <w:rPr>
          <w:rFonts w:ascii="MS Gothic" w:eastAsia="MS Gothic" w:hAnsi="MS Gothic" w:cs="MS Gothic" w:hint="eastAsia"/>
        </w:rPr>
        <w:t> </w:t>
      </w:r>
      <w:r w:rsidRPr="00454D99">
        <w:t>repeated flicking of the paw and 3</w:t>
      </w:r>
      <w:r w:rsidRPr="00454D99">
        <w:rPr>
          <w:rFonts w:ascii="MS Gothic" w:eastAsia="MS Gothic" w:hAnsi="MS Gothic" w:cs="MS Gothic" w:hint="eastAsia"/>
        </w:rPr>
        <w:t> </w:t>
      </w:r>
      <w:r w:rsidRPr="00454D99">
        <w:t>=</w:t>
      </w:r>
      <w:r w:rsidRPr="00454D99">
        <w:rPr>
          <w:rFonts w:ascii="MS Gothic" w:eastAsia="MS Gothic" w:hAnsi="MS Gothic" w:cs="MS Gothic" w:hint="eastAsia"/>
        </w:rPr>
        <w:t> </w:t>
      </w:r>
      <w:r w:rsidRPr="00454D99">
        <w:t>licking of the paw. The test was repeated five times by alternating the paw and mice between trials.</w:t>
      </w:r>
    </w:p>
    <w:p w14:paraId="2ABFBB8B" w14:textId="77777777" w:rsidR="00454D99" w:rsidRPr="00454D99" w:rsidRDefault="00454D99" w:rsidP="00454D99">
      <w:r w:rsidRPr="00454D99">
        <w:t>To measure heat nociception, mice were placed on top of a hot plate (Ugo Basile, 35150) that was preset to 52</w:t>
      </w:r>
      <w:r w:rsidRPr="00454D99">
        <w:rPr>
          <w:rFonts w:ascii="MS Gothic" w:eastAsia="MS Gothic" w:hAnsi="MS Gothic" w:cs="MS Gothic" w:hint="eastAsia"/>
        </w:rPr>
        <w:t> </w:t>
      </w:r>
      <w:r w:rsidRPr="00454D99">
        <w:rPr>
          <w:rFonts w:ascii="等线" w:eastAsia="等线" w:hAnsi="等线" w:cs="等线" w:hint="eastAsia"/>
        </w:rPr>
        <w:t>°</w:t>
      </w:r>
      <w:r w:rsidRPr="00454D99">
        <w:t xml:space="preserve">C and the latency to response as distinguished by flicking or licking of the </w:t>
      </w:r>
      <w:proofErr w:type="spellStart"/>
      <w:r w:rsidRPr="00454D99">
        <w:t>hindpaw</w:t>
      </w:r>
      <w:proofErr w:type="spellEnd"/>
      <w:r w:rsidRPr="00454D99">
        <w:t xml:space="preserve"> was noted. In order to avoid injury to the mice, a cutoff of 30</w:t>
      </w:r>
      <w:r w:rsidRPr="00454D99">
        <w:rPr>
          <w:rFonts w:ascii="MS Gothic" w:eastAsia="MS Gothic" w:hAnsi="MS Gothic" w:cs="MS Gothic" w:hint="eastAsia"/>
        </w:rPr>
        <w:t> </w:t>
      </w:r>
      <w:r w:rsidRPr="00454D99">
        <w:t>s was set.</w:t>
      </w:r>
    </w:p>
    <w:p w14:paraId="188A7FBE" w14:textId="77777777" w:rsidR="00454D99" w:rsidRPr="00454D99" w:rsidRDefault="00454D99" w:rsidP="00454D99">
      <w:r w:rsidRPr="00454D99">
        <w:t>The latency to respond to heat was measured by focusing thermal heat onto the plantar side of the paw or the tail of the mice using a modified Hargreaves apparatus. In order to avoid injury, a cutoff of 15</w:t>
      </w:r>
      <w:r w:rsidRPr="00454D99">
        <w:rPr>
          <w:rFonts w:ascii="MS Gothic" w:eastAsia="MS Gothic" w:hAnsi="MS Gothic" w:cs="MS Gothic" w:hint="eastAsia"/>
        </w:rPr>
        <w:t> </w:t>
      </w:r>
      <w:r w:rsidRPr="00454D99">
        <w:t>s was set.</w:t>
      </w:r>
    </w:p>
    <w:p w14:paraId="14535100" w14:textId="77777777" w:rsidR="00454D99" w:rsidRPr="00454D99" w:rsidRDefault="00454D99" w:rsidP="00454D99">
      <w:r w:rsidRPr="00454D99">
        <w:t>The grip strength test was performed to test the ability of mice to grip a metal grid (</w:t>
      </w:r>
      <w:proofErr w:type="spellStart"/>
      <w:r w:rsidRPr="00454D99">
        <w:t>Bioseb</w:t>
      </w:r>
      <w:proofErr w:type="spellEnd"/>
      <w:r w:rsidRPr="00454D99">
        <w:t>; BIO-GS3). The mice were placed on a metal grid with all four paws touching the grid. The tail of the mice was gently pulled and the force at which the mice first let go of the grid was measured. The test was repeated five times with a 30</w:t>
      </w:r>
      <w:r w:rsidRPr="00454D99">
        <w:rPr>
          <w:rFonts w:ascii="MS Gothic" w:eastAsia="MS Gothic" w:hAnsi="MS Gothic" w:cs="MS Gothic" w:hint="eastAsia"/>
        </w:rPr>
        <w:t> </w:t>
      </w:r>
      <w:r w:rsidRPr="00454D99">
        <w:t>s interval between trials.</w:t>
      </w:r>
    </w:p>
    <w:p w14:paraId="5B573095" w14:textId="77777777" w:rsidR="00454D99" w:rsidRPr="00454D99" w:rsidRDefault="00454D99" w:rsidP="00454D99">
      <w:r w:rsidRPr="00454D99">
        <w:t xml:space="preserve">The plantar side of the </w:t>
      </w:r>
      <w:proofErr w:type="spellStart"/>
      <w:r w:rsidRPr="00454D99">
        <w:t>hindpaw</w:t>
      </w:r>
      <w:proofErr w:type="spellEnd"/>
      <w:r w:rsidRPr="00454D99">
        <w:t xml:space="preserve"> was gently touched using an insect pin glued onto a 1</w:t>
      </w:r>
      <w:r w:rsidRPr="00454D99">
        <w:rPr>
          <w:rFonts w:ascii="MS Gothic" w:eastAsia="MS Gothic" w:hAnsi="MS Gothic" w:cs="MS Gothic" w:hint="eastAsia"/>
        </w:rPr>
        <w:t> </w:t>
      </w:r>
      <w:r w:rsidRPr="00454D99">
        <w:t>g von Frey filament without penetrating the skin and the responses were noted for 10 trials with an interval of 1</w:t>
      </w:r>
      <w:r w:rsidRPr="00454D99">
        <w:rPr>
          <w:rFonts w:ascii="MS Gothic" w:eastAsia="MS Gothic" w:hAnsi="MS Gothic" w:cs="MS Gothic" w:hint="eastAsia"/>
        </w:rPr>
        <w:t> </w:t>
      </w:r>
      <w:r w:rsidRPr="00454D99">
        <w:t>min between the trials.</w:t>
      </w:r>
    </w:p>
    <w:p w14:paraId="3AEFBE30" w14:textId="77777777" w:rsidR="00454D99" w:rsidRPr="00454D99" w:rsidRDefault="00454D99" w:rsidP="00454D99">
      <w:r w:rsidRPr="00454D99">
        <w:t>Mice were habituated to a plexiglass chamber for 15</w:t>
      </w:r>
      <w:r w:rsidRPr="00454D99">
        <w:rPr>
          <w:rFonts w:ascii="MS Gothic" w:eastAsia="MS Gothic" w:hAnsi="MS Gothic" w:cs="MS Gothic" w:hint="eastAsia"/>
        </w:rPr>
        <w:t> </w:t>
      </w:r>
      <w:r w:rsidRPr="00454D99">
        <w:t>min. A 3</w:t>
      </w:r>
      <w:r w:rsidRPr="00454D99">
        <w:rPr>
          <w:rFonts w:ascii="MS Gothic" w:eastAsia="MS Gothic" w:hAnsi="MS Gothic" w:cs="MS Gothic" w:hint="eastAsia"/>
        </w:rPr>
        <w:t> </w:t>
      </w:r>
      <w:r w:rsidRPr="00454D99">
        <w:t>cm</w:t>
      </w:r>
      <w:r w:rsidRPr="00454D99">
        <w:rPr>
          <w:rFonts w:ascii="MS Gothic" w:eastAsia="MS Gothic" w:hAnsi="MS Gothic" w:cs="MS Gothic" w:hint="eastAsia"/>
        </w:rPr>
        <w:t> </w:t>
      </w:r>
      <w:r w:rsidRPr="00454D99">
        <w:rPr>
          <w:rFonts w:ascii="等线" w:eastAsia="等线" w:hAnsi="等线" w:cs="等线" w:hint="eastAsia"/>
        </w:rPr>
        <w:t>×</w:t>
      </w:r>
      <w:r w:rsidRPr="00454D99">
        <w:rPr>
          <w:rFonts w:ascii="MS Gothic" w:eastAsia="MS Gothic" w:hAnsi="MS Gothic" w:cs="MS Gothic" w:hint="eastAsia"/>
        </w:rPr>
        <w:t> </w:t>
      </w:r>
      <w:r w:rsidRPr="00454D99">
        <w:t>1</w:t>
      </w:r>
      <w:r w:rsidRPr="00454D99">
        <w:rPr>
          <w:rFonts w:ascii="MS Gothic" w:eastAsia="MS Gothic" w:hAnsi="MS Gothic" w:cs="MS Gothic" w:hint="eastAsia"/>
        </w:rPr>
        <w:t> </w:t>
      </w:r>
      <w:r w:rsidRPr="00454D99">
        <w:t>cm piece of adhesive tape (</w:t>
      </w:r>
      <w:proofErr w:type="spellStart"/>
      <w:r w:rsidRPr="00454D99">
        <w:t>Identi</w:t>
      </w:r>
      <w:proofErr w:type="spellEnd"/>
      <w:r w:rsidRPr="00454D99">
        <w:t xml:space="preserve"> tape) was applied along the back of the mice. Responses were quantified as an attempt to remove the tape by shaking, scratching, or biting of the tape over a 5</w:t>
      </w:r>
      <w:r w:rsidRPr="00454D99">
        <w:rPr>
          <w:rFonts w:ascii="MS Gothic" w:eastAsia="MS Gothic" w:hAnsi="MS Gothic" w:cs="MS Gothic" w:hint="eastAsia"/>
        </w:rPr>
        <w:t> </w:t>
      </w:r>
      <w:r w:rsidRPr="00454D99">
        <w:t>min period</w:t>
      </w:r>
      <w:hyperlink r:id="rId13" w:anchor="ref-CR59" w:tooltip="Woo, S. H. et al. Piezo2 is required for Merkel-cell mechanotransduction. Nature 509, 622–626 (2014)." w:history="1">
        <w:r w:rsidRPr="00454D99">
          <w:rPr>
            <w:rStyle w:val="a7"/>
          </w:rPr>
          <w:t>59</w:t>
        </w:r>
      </w:hyperlink>
      <w:r w:rsidRPr="00454D99">
        <w:t>.</w:t>
      </w:r>
    </w:p>
    <w:p w14:paraId="1A600D28" w14:textId="77777777" w:rsidR="00454D99" w:rsidRPr="00454D99" w:rsidRDefault="00454D99" w:rsidP="00454D99">
      <w:r w:rsidRPr="00454D99">
        <w:t>Mice were placed on an elevated platform with a mesh floor and habituated for 30</w:t>
      </w:r>
      <w:r w:rsidRPr="00454D99">
        <w:rPr>
          <w:rFonts w:ascii="MS Gothic" w:eastAsia="MS Gothic" w:hAnsi="MS Gothic" w:cs="MS Gothic" w:hint="eastAsia"/>
        </w:rPr>
        <w:t> </w:t>
      </w:r>
      <w:r w:rsidRPr="00454D99">
        <w:t xml:space="preserve">min. A cotton swab was </w:t>
      </w:r>
      <w:r w:rsidRPr="00454D99">
        <w:rPr>
          <w:rFonts w:ascii="等线" w:eastAsia="等线" w:hAnsi="等线" w:cs="等线" w:hint="eastAsia"/>
        </w:rPr>
        <w:t>“</w:t>
      </w:r>
      <w:r w:rsidRPr="00454D99">
        <w:t>puffed-out</w:t>
      </w:r>
      <w:r w:rsidRPr="00454D99">
        <w:rPr>
          <w:rFonts w:ascii="等线" w:eastAsia="等线" w:hAnsi="等线" w:cs="等线" w:hint="eastAsia"/>
        </w:rPr>
        <w:t>”</w:t>
      </w:r>
      <w:r w:rsidRPr="00454D99">
        <w:t xml:space="preserve"> to about three times its original size. The </w:t>
      </w:r>
      <w:proofErr w:type="spellStart"/>
      <w:r w:rsidRPr="00454D99">
        <w:t>hindpaw</w:t>
      </w:r>
      <w:proofErr w:type="spellEnd"/>
      <w:r w:rsidRPr="00454D99">
        <w:t xml:space="preserve"> of mice was then brushed using this cotton swab in the heel-to-toe direction and the frequency of responses were noted</w:t>
      </w:r>
      <w:hyperlink r:id="rId14" w:anchor="ref-CR60" w:tooltip="Garrison, S. R., Dietrich, A. &amp; Stucky, C. L. TRPC1 contributes to light-touch sensation and mechanical responses in low-threshold cutaneous sensory neurons. J. Neurophysiol. 107, 913–922 (2012)." w:history="1">
        <w:r w:rsidRPr="00454D99">
          <w:rPr>
            <w:rStyle w:val="a7"/>
          </w:rPr>
          <w:t>60</w:t>
        </w:r>
      </w:hyperlink>
      <w:r w:rsidRPr="00454D99">
        <w:t>. The trials were repeated 10 times alternating between paws with an interval of 1</w:t>
      </w:r>
      <w:r w:rsidRPr="00454D99">
        <w:rPr>
          <w:rFonts w:ascii="MS Gothic" w:eastAsia="MS Gothic" w:hAnsi="MS Gothic" w:cs="MS Gothic" w:hint="eastAsia"/>
        </w:rPr>
        <w:t> </w:t>
      </w:r>
      <w:r w:rsidRPr="00454D99">
        <w:t>min between trials.</w:t>
      </w:r>
    </w:p>
    <w:p w14:paraId="71E58993" w14:textId="77777777" w:rsidR="00454D99" w:rsidRPr="00454D99" w:rsidRDefault="00454D99" w:rsidP="00454D99">
      <w:r w:rsidRPr="00454D99">
        <w:lastRenderedPageBreak/>
        <w:t>For the von Frey test, mice were habituated on an elevated platform with a mesh floor for 30</w:t>
      </w:r>
      <w:r w:rsidRPr="00454D99">
        <w:rPr>
          <w:rFonts w:ascii="MS Gothic" w:eastAsia="MS Gothic" w:hAnsi="MS Gothic" w:cs="MS Gothic" w:hint="eastAsia"/>
        </w:rPr>
        <w:t> </w:t>
      </w:r>
      <w:r w:rsidRPr="00454D99">
        <w:t xml:space="preserve">min. The plantar side of the </w:t>
      </w:r>
      <w:proofErr w:type="spellStart"/>
      <w:r w:rsidRPr="00454D99">
        <w:t>hindpaw</w:t>
      </w:r>
      <w:proofErr w:type="spellEnd"/>
      <w:r w:rsidRPr="00454D99">
        <w:t xml:space="preserve"> was stimulated with calibrated von Frey filaments (North coast medical, NC12775-99). The 50% paw withdrawal thresholds were calculated using the Up-Down method</w:t>
      </w:r>
      <w:hyperlink r:id="rId15" w:anchor="ref-CR61" w:tooltip="Chaplan, S. R., Bach, F. W., Pogrel, J. W., Chung, J. M. &amp; Yaksh, T. L. Quantitative assessment of tactile allodynia in the rat paw. J. Neurosci. Methods 53, 55–63 (1994)." w:history="1">
        <w:r w:rsidRPr="00454D99">
          <w:rPr>
            <w:rStyle w:val="a7"/>
          </w:rPr>
          <w:t>61</w:t>
        </w:r>
      </w:hyperlink>
      <w:r w:rsidRPr="00454D99">
        <w:t>. Post SNI, von Frey testing was confined to the sural nerve innervating region of the paw.</w:t>
      </w:r>
    </w:p>
    <w:p w14:paraId="0DDBC8A3" w14:textId="77777777" w:rsidR="00454D99" w:rsidRPr="00454D99" w:rsidRDefault="00454D99" w:rsidP="00454D99">
      <w:r w:rsidRPr="00454D99">
        <w:t>The nape of the neck was shaved and stimulated with a 0.07</w:t>
      </w:r>
      <w:r w:rsidRPr="00454D99">
        <w:rPr>
          <w:rFonts w:ascii="MS Gothic" w:eastAsia="MS Gothic" w:hAnsi="MS Gothic" w:cs="MS Gothic" w:hint="eastAsia"/>
        </w:rPr>
        <w:t> </w:t>
      </w:r>
      <w:r w:rsidRPr="00454D99">
        <w:t>g von Frey hair, 10 times with an interval of 1</w:t>
      </w:r>
      <w:r w:rsidRPr="00454D99">
        <w:rPr>
          <w:rFonts w:ascii="MS Gothic" w:eastAsia="MS Gothic" w:hAnsi="MS Gothic" w:cs="MS Gothic" w:hint="eastAsia"/>
        </w:rPr>
        <w:t> </w:t>
      </w:r>
      <w:r w:rsidRPr="00454D99">
        <w:t>min between stimulation. Frequency of responses as visualized by flicking of the head was measured.</w:t>
      </w:r>
    </w:p>
    <w:p w14:paraId="43ACCEFC" w14:textId="77777777" w:rsidR="00454D99" w:rsidRPr="00454D99" w:rsidRDefault="00454D99" w:rsidP="00454D99">
      <w:r w:rsidRPr="00454D99">
        <w:t xml:space="preserve">To measure dynamic allodynia, the plantar </w:t>
      </w:r>
      <w:proofErr w:type="spellStart"/>
      <w:r w:rsidRPr="00454D99">
        <w:t>hindpaw</w:t>
      </w:r>
      <w:proofErr w:type="spellEnd"/>
      <w:r w:rsidRPr="00454D99">
        <w:t xml:space="preserve"> was stimulated by stroking using a paint brush in the heel-to-toe direction. The responses were scored as described by Duan et al.</w:t>
      </w:r>
      <w:hyperlink r:id="rId16" w:anchor="ref-CR3" w:tooltip="Duan, B. et al. Identification of spinal circuits transmitting and gating mechanical pain. Cell 159, 1417–1432 (2014)." w:history="1">
        <w:r w:rsidRPr="00454D99">
          <w:rPr>
            <w:rStyle w:val="a7"/>
          </w:rPr>
          <w:t>3</w:t>
        </w:r>
      </w:hyperlink>
      <w:r w:rsidRPr="00454D99">
        <w:t>. For each test under baseline conditions, 0</w:t>
      </w:r>
      <w:r w:rsidRPr="00454D99">
        <w:rPr>
          <w:rFonts w:ascii="MS Gothic" w:eastAsia="MS Gothic" w:hAnsi="MS Gothic" w:cs="MS Gothic" w:hint="eastAsia"/>
        </w:rPr>
        <w:t> </w:t>
      </w:r>
      <w:r w:rsidRPr="00454D99">
        <w:t>=</w:t>
      </w:r>
      <w:r w:rsidRPr="00454D99">
        <w:rPr>
          <w:rFonts w:ascii="MS Gothic" w:eastAsia="MS Gothic" w:hAnsi="MS Gothic" w:cs="MS Gothic" w:hint="eastAsia"/>
        </w:rPr>
        <w:t> </w:t>
      </w:r>
      <w:r w:rsidRPr="00454D99">
        <w:t>no response, 1</w:t>
      </w:r>
      <w:r w:rsidRPr="00454D99">
        <w:rPr>
          <w:rFonts w:ascii="MS Gothic" w:eastAsia="MS Gothic" w:hAnsi="MS Gothic" w:cs="MS Gothic" w:hint="eastAsia"/>
        </w:rPr>
        <w:t> </w:t>
      </w:r>
      <w:r w:rsidRPr="00454D99">
        <w:t>=</w:t>
      </w:r>
      <w:r w:rsidRPr="00454D99">
        <w:rPr>
          <w:rFonts w:ascii="MS Gothic" w:eastAsia="MS Gothic" w:hAnsi="MS Gothic" w:cs="MS Gothic" w:hint="eastAsia"/>
        </w:rPr>
        <w:t> </w:t>
      </w:r>
      <w:r w:rsidRPr="00454D99">
        <w:t>paw withdrawal, 2</w:t>
      </w:r>
      <w:r w:rsidRPr="00454D99">
        <w:rPr>
          <w:rFonts w:ascii="MS Gothic" w:eastAsia="MS Gothic" w:hAnsi="MS Gothic" w:cs="MS Gothic" w:hint="eastAsia"/>
        </w:rPr>
        <w:t> </w:t>
      </w:r>
      <w:r w:rsidRPr="00454D99">
        <w:t>=</w:t>
      </w:r>
      <w:r w:rsidRPr="00454D99">
        <w:rPr>
          <w:rFonts w:ascii="MS Gothic" w:eastAsia="MS Gothic" w:hAnsi="MS Gothic" w:cs="MS Gothic" w:hint="eastAsia"/>
        </w:rPr>
        <w:t> </w:t>
      </w:r>
      <w:r w:rsidRPr="00454D99">
        <w:t>flicking of the paw, and 3</w:t>
      </w:r>
      <w:r w:rsidRPr="00454D99">
        <w:rPr>
          <w:rFonts w:ascii="MS Gothic" w:eastAsia="MS Gothic" w:hAnsi="MS Gothic" w:cs="MS Gothic" w:hint="eastAsia"/>
        </w:rPr>
        <w:t> </w:t>
      </w:r>
      <w:r w:rsidRPr="00454D99">
        <w:t>=</w:t>
      </w:r>
      <w:r w:rsidRPr="00454D99">
        <w:rPr>
          <w:rFonts w:ascii="MS Gothic" w:eastAsia="MS Gothic" w:hAnsi="MS Gothic" w:cs="MS Gothic" w:hint="eastAsia"/>
        </w:rPr>
        <w:t> </w:t>
      </w:r>
      <w:r w:rsidRPr="00454D99">
        <w:t>licking of the paw. After injury responses were quantified: 0</w:t>
      </w:r>
      <w:r w:rsidRPr="00454D99">
        <w:rPr>
          <w:rFonts w:ascii="MS Gothic" w:eastAsia="MS Gothic" w:hAnsi="MS Gothic" w:cs="MS Gothic" w:hint="eastAsia"/>
        </w:rPr>
        <w:t> </w:t>
      </w:r>
      <w:r w:rsidRPr="00454D99">
        <w:t>=</w:t>
      </w:r>
      <w:r w:rsidRPr="00454D99">
        <w:rPr>
          <w:rFonts w:ascii="MS Gothic" w:eastAsia="MS Gothic" w:hAnsi="MS Gothic" w:cs="MS Gothic" w:hint="eastAsia"/>
        </w:rPr>
        <w:t> </w:t>
      </w:r>
      <w:r w:rsidRPr="00454D99">
        <w:t>brief withdrawal, 1</w:t>
      </w:r>
      <w:r w:rsidRPr="00454D99">
        <w:rPr>
          <w:rFonts w:ascii="MS Gothic" w:eastAsia="MS Gothic" w:hAnsi="MS Gothic" w:cs="MS Gothic" w:hint="eastAsia"/>
        </w:rPr>
        <w:t> </w:t>
      </w:r>
      <w:r w:rsidRPr="00454D99">
        <w:t>=</w:t>
      </w:r>
      <w:r w:rsidRPr="00454D99">
        <w:rPr>
          <w:rFonts w:ascii="MS Gothic" w:eastAsia="MS Gothic" w:hAnsi="MS Gothic" w:cs="MS Gothic" w:hint="eastAsia"/>
        </w:rPr>
        <w:t> </w:t>
      </w:r>
      <w:r w:rsidRPr="00454D99">
        <w:t>prolonged paw withdrawal toward the body, 2</w:t>
      </w:r>
      <w:r w:rsidRPr="00454D99">
        <w:rPr>
          <w:rFonts w:ascii="MS Gothic" w:eastAsia="MS Gothic" w:hAnsi="MS Gothic" w:cs="MS Gothic" w:hint="eastAsia"/>
        </w:rPr>
        <w:t> </w:t>
      </w:r>
      <w:r w:rsidRPr="00454D99">
        <w:t>=</w:t>
      </w:r>
      <w:r w:rsidRPr="00454D99">
        <w:rPr>
          <w:rFonts w:ascii="MS Gothic" w:eastAsia="MS Gothic" w:hAnsi="MS Gothic" w:cs="MS Gothic" w:hint="eastAsia"/>
        </w:rPr>
        <w:t> </w:t>
      </w:r>
      <w:r w:rsidRPr="00454D99">
        <w:t>repeated flicking or flinching of the affected leg, and 3</w:t>
      </w:r>
      <w:r w:rsidRPr="00454D99">
        <w:rPr>
          <w:rFonts w:ascii="MS Gothic" w:eastAsia="MS Gothic" w:hAnsi="MS Gothic" w:cs="MS Gothic" w:hint="eastAsia"/>
        </w:rPr>
        <w:t> </w:t>
      </w:r>
      <w:r w:rsidRPr="00454D99">
        <w:t>=</w:t>
      </w:r>
      <w:r w:rsidRPr="00454D99">
        <w:rPr>
          <w:rFonts w:ascii="MS Gothic" w:eastAsia="MS Gothic" w:hAnsi="MS Gothic" w:cs="MS Gothic" w:hint="eastAsia"/>
        </w:rPr>
        <w:t> </w:t>
      </w:r>
      <w:r w:rsidRPr="00454D99">
        <w:t>licking of the paw.</w:t>
      </w:r>
    </w:p>
    <w:p w14:paraId="578D751C" w14:textId="77777777" w:rsidR="00454D99" w:rsidRPr="00454D99" w:rsidRDefault="00454D99" w:rsidP="00454D99">
      <w:r w:rsidRPr="00454D99">
        <w:t>Mouse pain models</w:t>
      </w:r>
    </w:p>
    <w:p w14:paraId="68D28BA9" w14:textId="77777777" w:rsidR="00454D99" w:rsidRPr="00454D99" w:rsidRDefault="00454D99" w:rsidP="00454D99">
      <w:r w:rsidRPr="00454D99">
        <w:t xml:space="preserve">The spared nerve injury (SNI) was performed as described by </w:t>
      </w:r>
      <w:proofErr w:type="spellStart"/>
      <w:r w:rsidRPr="00454D99">
        <w:t>Pertin</w:t>
      </w:r>
      <w:proofErr w:type="spellEnd"/>
      <w:r w:rsidRPr="00454D99">
        <w:t xml:space="preserve"> et al.</w:t>
      </w:r>
      <w:hyperlink r:id="rId17" w:anchor="ref-CR62" w:tooltip="Pertin, M., Gosselin, R. D. &amp; Decosterd, I. The spared nerve injury model of neuropathic pain. Methods Mol. Biol. 851, 205–212 (2012)." w:history="1">
        <w:r w:rsidRPr="00454D99">
          <w:rPr>
            <w:rStyle w:val="a7"/>
          </w:rPr>
          <w:t>62</w:t>
        </w:r>
      </w:hyperlink>
      <w:r w:rsidRPr="00454D99">
        <w:t>. Adult mice were anesthetized using 2.5% isoflurane. The sciatic nerve near the thigh region was exposed; the common peroneal and tibial nerves were ligated and cut, leaving the sural nerve intact. Behavioral testing was performed starting from 3 days after injury. Sham controls underwent exposure of the thigh region without any damage to the nerve.</w:t>
      </w:r>
    </w:p>
    <w:p w14:paraId="7044C016" w14:textId="77777777" w:rsidR="00454D99" w:rsidRPr="00454D99" w:rsidRDefault="00454D99" w:rsidP="00454D99">
      <w:r w:rsidRPr="00454D99">
        <w:t>For the CFA model of pain, 20</w:t>
      </w:r>
      <w:r w:rsidRPr="00454D99">
        <w:rPr>
          <w:rFonts w:ascii="MS Gothic" w:eastAsia="MS Gothic" w:hAnsi="MS Gothic" w:cs="MS Gothic" w:hint="eastAsia"/>
        </w:rPr>
        <w:t> </w:t>
      </w:r>
      <w:r w:rsidRPr="00454D99">
        <w:rPr>
          <w:rFonts w:ascii="等线" w:eastAsia="等线" w:hAnsi="等线" w:cs="等线" w:hint="eastAsia"/>
        </w:rPr>
        <w:t>μ</w:t>
      </w:r>
      <w:r w:rsidRPr="00454D99">
        <w:t xml:space="preserve">l of CFA (Sigma-Aldrich, F5881) was injected into the </w:t>
      </w:r>
      <w:proofErr w:type="spellStart"/>
      <w:r w:rsidRPr="00454D99">
        <w:t>hindpaw</w:t>
      </w:r>
      <w:proofErr w:type="spellEnd"/>
      <w:r w:rsidRPr="00454D99">
        <w:t xml:space="preserve"> of mice. Behavioral tests were performed 24 and 48</w:t>
      </w:r>
      <w:r w:rsidRPr="00454D99">
        <w:rPr>
          <w:rFonts w:ascii="MS Gothic" w:eastAsia="MS Gothic" w:hAnsi="MS Gothic" w:cs="MS Gothic" w:hint="eastAsia"/>
        </w:rPr>
        <w:t> </w:t>
      </w:r>
      <w:r w:rsidRPr="00454D99">
        <w:t>h after inflammation. Ten percent saline injections were used as sham controls</w:t>
      </w:r>
    </w:p>
    <w:p w14:paraId="188A0933" w14:textId="77777777" w:rsidR="00454D99" w:rsidRPr="00454D99" w:rsidRDefault="00454D99" w:rsidP="00454D99">
      <w:r w:rsidRPr="00454D99">
        <w:t>To mimic chemotherapy-induced neuropathic pain, wild-type C57BL6 mice were injected with 1</w:t>
      </w:r>
      <w:r w:rsidRPr="00454D99">
        <w:rPr>
          <w:rFonts w:ascii="MS Gothic" w:eastAsia="MS Gothic" w:hAnsi="MS Gothic" w:cs="MS Gothic" w:hint="eastAsia"/>
        </w:rPr>
        <w:t> </w:t>
      </w:r>
      <w:r w:rsidRPr="00454D99">
        <w:t>mg/kg of paclitaxel (Sigma-Aldrich, T7191) intraperitoneally for 4 alternate days</w:t>
      </w:r>
      <w:hyperlink r:id="rId18" w:anchor="ref-CR63" w:tooltip="Braz, J. M., Wang, X., Guan, Z., Rubenstein, J. L. &amp; Basbaum, A. I. Transplant-mediated enhancement of spinal cord GABAergic inhibition reverses paclitaxel-induced mechanical and heat hypersensitivity. Pain 156, 1084–1091 (2015)." w:history="1">
        <w:r w:rsidRPr="00454D99">
          <w:rPr>
            <w:rStyle w:val="a7"/>
          </w:rPr>
          <w:t>63</w:t>
        </w:r>
      </w:hyperlink>
      <w:r w:rsidRPr="00454D99">
        <w:t>. Mechanical thresholds were assayed 1 week after the final injection.</w:t>
      </w:r>
    </w:p>
    <w:p w14:paraId="028FB117" w14:textId="77777777" w:rsidR="00454D99" w:rsidRPr="00454D99" w:rsidRDefault="00454D99" w:rsidP="00454D99">
      <w:r w:rsidRPr="00454D99">
        <w:t>To induce diabetic neuropathy, wild-type C57BL6 mice were injected systemically with 180</w:t>
      </w:r>
      <w:r w:rsidRPr="00454D99">
        <w:rPr>
          <w:rFonts w:ascii="MS Gothic" w:eastAsia="MS Gothic" w:hAnsi="MS Gothic" w:cs="MS Gothic" w:hint="eastAsia"/>
        </w:rPr>
        <w:t> </w:t>
      </w:r>
      <w:r w:rsidRPr="00454D99">
        <w:t>mg/kg of Streptozotocin (STZ, Sigma-Aldrich S0130) in 0.05</w:t>
      </w:r>
      <w:r w:rsidRPr="00454D99">
        <w:rPr>
          <w:rFonts w:ascii="MS Gothic" w:eastAsia="MS Gothic" w:hAnsi="MS Gothic" w:cs="MS Gothic" w:hint="eastAsia"/>
        </w:rPr>
        <w:t> </w:t>
      </w:r>
      <w:r w:rsidRPr="00454D99">
        <w:t>M citrate buffer (pH 4.5). This led to the development of diabetes within 3 days of administration</w:t>
      </w:r>
      <w:hyperlink r:id="rId19" w:anchor="ref-CR64" w:tooltip="O’Brien, P. D., Sakowski, S. A. &amp; Feldman, E. L. Mouse models of diabetic neuropathy. ILAR J. 54, 259–272 (2014)." w:history="1">
        <w:r w:rsidRPr="00454D99">
          <w:rPr>
            <w:rStyle w:val="a7"/>
          </w:rPr>
          <w:t>64</w:t>
        </w:r>
      </w:hyperlink>
      <w:r w:rsidRPr="00454D99">
        <w:t>. The blood–glucose levels were monitored frequently using ACCU-CHEK glucose sticks (Aviva). Mice with blood–glucose levels greater than 350</w:t>
      </w:r>
      <w:r w:rsidRPr="00454D99">
        <w:rPr>
          <w:rFonts w:ascii="MS Gothic" w:eastAsia="MS Gothic" w:hAnsi="MS Gothic" w:cs="MS Gothic" w:hint="eastAsia"/>
        </w:rPr>
        <w:t> </w:t>
      </w:r>
      <w:r w:rsidRPr="00454D99">
        <w:t>mg/dl were considered diabetic. The blood</w:t>
      </w:r>
      <w:r w:rsidRPr="00454D99">
        <w:rPr>
          <w:rFonts w:ascii="等线" w:eastAsia="等线" w:hAnsi="等线" w:cs="等线" w:hint="eastAsia"/>
        </w:rPr>
        <w:t>–</w:t>
      </w:r>
      <w:r w:rsidRPr="00454D99">
        <w:t>glucose levels were maintained between 350 and 400</w:t>
      </w:r>
      <w:r w:rsidRPr="00454D99">
        <w:rPr>
          <w:rFonts w:ascii="MS Gothic" w:eastAsia="MS Gothic" w:hAnsi="MS Gothic" w:cs="MS Gothic" w:hint="eastAsia"/>
        </w:rPr>
        <w:t> </w:t>
      </w:r>
      <w:r w:rsidRPr="00454D99">
        <w:t>mg/dl by administration of insulin (</w:t>
      </w:r>
      <w:proofErr w:type="spellStart"/>
      <w:r w:rsidRPr="00454D99">
        <w:t>Caninsulin</w:t>
      </w:r>
      <w:proofErr w:type="spellEnd"/>
      <w:r w:rsidRPr="00454D99">
        <w:t xml:space="preserve"> 40</w:t>
      </w:r>
      <w:r w:rsidRPr="00454D99">
        <w:rPr>
          <w:rFonts w:ascii="MS Gothic" w:eastAsia="MS Gothic" w:hAnsi="MS Gothic" w:cs="MS Gothic" w:hint="eastAsia"/>
        </w:rPr>
        <w:t> </w:t>
      </w:r>
      <w:r w:rsidRPr="00454D99">
        <w:t>U/ml MSD animal health). Four weeks after the onset of diabetes, mice developed mechanical hypersensitivity. Behavior experiments to test allodynia were carried out as described earlier.</w:t>
      </w:r>
    </w:p>
    <w:p w14:paraId="5D895E60" w14:textId="77777777" w:rsidR="00454D99" w:rsidRPr="00454D99" w:rsidRDefault="00454D99" w:rsidP="00454D99">
      <w:r w:rsidRPr="00454D99">
        <w:t xml:space="preserve">Light activation using </w:t>
      </w:r>
      <w:proofErr w:type="spellStart"/>
      <w:r w:rsidRPr="00454D99">
        <w:t>channelrhodopsin</w:t>
      </w:r>
      <w:proofErr w:type="spellEnd"/>
    </w:p>
    <w:p w14:paraId="79F66A5B" w14:textId="77777777" w:rsidR="00454D99" w:rsidRPr="00454D99" w:rsidRDefault="00454D99" w:rsidP="00454D99">
      <w:r w:rsidRPr="00454D99">
        <w:t>Optogenetic stimulation of the paw was performed using 473</w:t>
      </w:r>
      <w:r w:rsidRPr="00454D99">
        <w:rPr>
          <w:rFonts w:ascii="MS Gothic" w:eastAsia="MS Gothic" w:hAnsi="MS Gothic" w:cs="MS Gothic" w:hint="eastAsia"/>
        </w:rPr>
        <w:t> </w:t>
      </w:r>
      <w:r w:rsidRPr="00454D99">
        <w:t xml:space="preserve">nm Blue DPSS laser (SLOC CO., Ltd; BL473T8) coupled to a </w:t>
      </w:r>
      <w:proofErr w:type="spellStart"/>
      <w:r w:rsidRPr="00454D99">
        <w:t>powerlab</w:t>
      </w:r>
      <w:proofErr w:type="spellEnd"/>
      <w:r w:rsidRPr="00454D99">
        <w:t xml:space="preserve"> source (</w:t>
      </w:r>
      <w:proofErr w:type="spellStart"/>
      <w:r w:rsidRPr="00454D99">
        <w:t>Powerlab</w:t>
      </w:r>
      <w:proofErr w:type="spellEnd"/>
      <w:r w:rsidRPr="00454D99">
        <w:t xml:space="preserve"> 4SP) to generate light pulses. Five</w:t>
      </w:r>
      <w:r w:rsidRPr="00454D99">
        <w:rPr>
          <w:rFonts w:ascii="等线" w:eastAsia="等线" w:hAnsi="等线" w:cs="等线" w:hint="eastAsia"/>
        </w:rPr>
        <w:t>–</w:t>
      </w:r>
      <w:r w:rsidRPr="00454D99">
        <w:t>10</w:t>
      </w:r>
      <w:r w:rsidRPr="00454D99">
        <w:rPr>
          <w:rFonts w:ascii="MS Gothic" w:eastAsia="MS Gothic" w:hAnsi="MS Gothic" w:cs="MS Gothic" w:hint="eastAsia"/>
        </w:rPr>
        <w:t> </w:t>
      </w:r>
      <w:proofErr w:type="spellStart"/>
      <w:r w:rsidRPr="00454D99">
        <w:t>ms</w:t>
      </w:r>
      <w:proofErr w:type="spellEnd"/>
      <w:r w:rsidRPr="00454D99">
        <w:t xml:space="preserve"> pulses of blue light of (15</w:t>
      </w:r>
      <w:r w:rsidRPr="00454D99">
        <w:rPr>
          <w:rFonts w:ascii="MS Gothic" w:eastAsia="MS Gothic" w:hAnsi="MS Gothic" w:cs="MS Gothic" w:hint="eastAsia"/>
        </w:rPr>
        <w:t> </w:t>
      </w:r>
      <w:r w:rsidRPr="00454D99">
        <w:t xml:space="preserve">Hz) were applied onto the plantar </w:t>
      </w:r>
      <w:proofErr w:type="spellStart"/>
      <w:r w:rsidRPr="00454D99">
        <w:t>hindpaw</w:t>
      </w:r>
      <w:proofErr w:type="spellEnd"/>
      <w:r w:rsidRPr="00454D99">
        <w:t xml:space="preserve"> of mice using an 0.93NA optic fiber cable (SLOC CO., Ltd; FC-200-10-PC). Paw withdrawal to light application was considered as a positive response. In all experiments, ipsilateral and contralateral paws of TrkB</w:t>
      </w:r>
      <w:r w:rsidRPr="00454D99">
        <w:rPr>
          <w:vertAlign w:val="superscript"/>
        </w:rPr>
        <w:t>CreERT</w:t>
      </w:r>
      <w:proofErr w:type="gramStart"/>
      <w:r w:rsidRPr="00454D99">
        <w:rPr>
          <w:vertAlign w:val="superscript"/>
        </w:rPr>
        <w:t>2</w:t>
      </w:r>
      <w:r w:rsidRPr="00454D99">
        <w:t>::</w:t>
      </w:r>
      <w:proofErr w:type="gramEnd"/>
      <w:r w:rsidRPr="00454D99">
        <w:t>Rosa26</w:t>
      </w:r>
      <w:r w:rsidRPr="00454D99">
        <w:rPr>
          <w:vertAlign w:val="superscript"/>
        </w:rPr>
        <w:t>ChR2-YFP</w:t>
      </w:r>
      <w:r w:rsidRPr="00454D99">
        <w:t> were tested along with littermate controls (referred to as Rosa26</w:t>
      </w:r>
      <w:r w:rsidRPr="00454D99">
        <w:rPr>
          <w:vertAlign w:val="superscript"/>
        </w:rPr>
        <w:t>ChR2-YFP</w:t>
      </w:r>
      <w:r w:rsidRPr="00454D99">
        <w:t>).</w:t>
      </w:r>
    </w:p>
    <w:p w14:paraId="7D5B21F6" w14:textId="77777777" w:rsidR="00454D99" w:rsidRPr="00454D99" w:rsidRDefault="00454D99" w:rsidP="00454D99">
      <w:r w:rsidRPr="00454D99">
        <w:t>C-</w:t>
      </w:r>
      <w:proofErr w:type="spellStart"/>
      <w:r w:rsidRPr="00454D99">
        <w:t>fos</w:t>
      </w:r>
      <w:proofErr w:type="spellEnd"/>
      <w:r w:rsidRPr="00454D99">
        <w:t xml:space="preserve"> labeling</w:t>
      </w:r>
    </w:p>
    <w:p w14:paraId="2C32D2C7" w14:textId="77777777" w:rsidR="00454D99" w:rsidRPr="00454D99" w:rsidRDefault="00454D99" w:rsidP="00454D99">
      <w:r w:rsidRPr="00454D99">
        <w:t>For c-</w:t>
      </w:r>
      <w:proofErr w:type="spellStart"/>
      <w:r w:rsidRPr="00454D99">
        <w:t>fos</w:t>
      </w:r>
      <w:proofErr w:type="spellEnd"/>
      <w:r w:rsidRPr="00454D99">
        <w:t xml:space="preserve"> labeling of the spinal cord, TrkB</w:t>
      </w:r>
      <w:r w:rsidRPr="00454D99">
        <w:rPr>
          <w:vertAlign w:val="superscript"/>
        </w:rPr>
        <w:t>CreERT2</w:t>
      </w:r>
      <w:r w:rsidRPr="00454D99">
        <w:t>::Rosa26</w:t>
      </w:r>
      <w:r w:rsidRPr="00454D99">
        <w:rPr>
          <w:vertAlign w:val="superscript"/>
        </w:rPr>
        <w:t>ChR2</w:t>
      </w:r>
      <w:r w:rsidRPr="00454D99">
        <w:t xml:space="preserve"> mice were exposed to optogenetic </w:t>
      </w:r>
      <w:r w:rsidRPr="00454D99">
        <w:lastRenderedPageBreak/>
        <w:t>stimulation of the injured (ipsilateral) and contralateral paw with a 15</w:t>
      </w:r>
      <w:r w:rsidRPr="00454D99">
        <w:rPr>
          <w:rFonts w:ascii="MS Gothic" w:eastAsia="MS Gothic" w:hAnsi="MS Gothic" w:cs="MS Gothic" w:hint="eastAsia"/>
        </w:rPr>
        <w:t> </w:t>
      </w:r>
      <w:r w:rsidRPr="00454D99">
        <w:t>Hz laser for 1</w:t>
      </w:r>
      <w:r w:rsidRPr="00454D99">
        <w:rPr>
          <w:rFonts w:ascii="MS Gothic" w:eastAsia="MS Gothic" w:hAnsi="MS Gothic" w:cs="MS Gothic" w:hint="eastAsia"/>
        </w:rPr>
        <w:t> </w:t>
      </w:r>
      <w:r w:rsidRPr="00454D99">
        <w:t>min. Mice were then killed and the lumbar spinal cord was removed and fixed with 4% PFA overnight at 4</w:t>
      </w:r>
      <w:r w:rsidRPr="00454D99">
        <w:rPr>
          <w:rFonts w:ascii="MS Gothic" w:eastAsia="MS Gothic" w:hAnsi="MS Gothic" w:cs="MS Gothic" w:hint="eastAsia"/>
        </w:rPr>
        <w:t> </w:t>
      </w:r>
      <w:r w:rsidRPr="00454D99">
        <w:rPr>
          <w:rFonts w:ascii="等线" w:eastAsia="等线" w:hAnsi="等线" w:cs="等线" w:hint="eastAsia"/>
        </w:rPr>
        <w:t>°</w:t>
      </w:r>
      <w:r w:rsidRPr="00454D99">
        <w:t>C. Tissues were then cryoprotected in 30% sucrose and embedded in Tissue-Tek O.C.T compound. Forty micrometer sections of the spinal cord were cut using a cryostat and stained for antibody against c-</w:t>
      </w:r>
      <w:proofErr w:type="spellStart"/>
      <w:r w:rsidRPr="00454D99">
        <w:t>fos</w:t>
      </w:r>
      <w:proofErr w:type="spellEnd"/>
      <w:r w:rsidRPr="00454D99">
        <w:t xml:space="preserve"> following the protocol described above.</w:t>
      </w:r>
    </w:p>
    <w:p w14:paraId="34CCF23D" w14:textId="77777777" w:rsidR="00454D99" w:rsidRPr="00454D99" w:rsidRDefault="00454D99" w:rsidP="00454D99">
      <w:r w:rsidRPr="00454D99">
        <w:t>Production of recombinant BDNF</w:t>
      </w:r>
      <w:r w:rsidRPr="00454D99">
        <w:rPr>
          <w:vertAlign w:val="superscript"/>
        </w:rPr>
        <w:t>SNAP</w:t>
      </w:r>
    </w:p>
    <w:p w14:paraId="3575CEC0" w14:textId="77777777" w:rsidR="00454D99" w:rsidRPr="00454D99" w:rsidRDefault="00454D99" w:rsidP="00454D99">
      <w:r w:rsidRPr="00454D99">
        <w:t>cDNAs encoding for the murine BDNF and SNAP proteins including a C-terminal poly-Histidine Tag (His</w:t>
      </w:r>
      <w:r w:rsidRPr="00454D99">
        <w:rPr>
          <w:vertAlign w:val="subscript"/>
        </w:rPr>
        <w:t>6</w:t>
      </w:r>
      <w:r w:rsidRPr="00454D99">
        <w:t xml:space="preserve">) inserted for purification purposes were cloned into the </w:t>
      </w:r>
      <w:proofErr w:type="spellStart"/>
      <w:r w:rsidRPr="00454D99">
        <w:t>pMP</w:t>
      </w:r>
      <w:proofErr w:type="spellEnd"/>
      <w:r w:rsidRPr="00454D99">
        <w:t>-PB vector as a fusion protein</w:t>
      </w:r>
      <w:hyperlink r:id="rId20" w:anchor="ref-CR65" w:tooltip="Matasci, M., Baldi, L., Hacker, D. L. &amp; Wurm, F. M. The PiggyBac transposon enhances the frequency of CHO stable cell line generation and yields recombinant lines with superior productivity and stability. Biotechnol. Bioeng. 108, 2141–2150 (2011)." w:history="1">
        <w:r w:rsidRPr="00454D99">
          <w:rPr>
            <w:rStyle w:val="a7"/>
          </w:rPr>
          <w:t>65</w:t>
        </w:r>
      </w:hyperlink>
      <w:r w:rsidRPr="00454D99">
        <w:t>. Protein expression was carried out using Chinese hamster ovary (CHO) cells (ATCC, mycoplasma negative) as described by Balasubramanian et al.</w:t>
      </w:r>
      <w:hyperlink r:id="rId21" w:anchor="ref-CR66" w:tooltip="Balasubramanian, S. et al. Rapid recombinant protein production from piggyBac transposon-mediated stable CHO cell pools. J. Biotechnol. 200, 61–69 (2015)." w:history="1">
        <w:r w:rsidRPr="00454D99">
          <w:rPr>
            <w:rStyle w:val="a7"/>
          </w:rPr>
          <w:t>66</w:t>
        </w:r>
      </w:hyperlink>
      <w:r w:rsidRPr="00454D99">
        <w:t>. Secreted BDNF-SNAP was purified from cell medium using a Ni-NTA resin (Qiagen, #30210) and eluted with an excess of imidazole. Eluted fractions were then pooled, concentrated, and stored for further analysis.</w:t>
      </w:r>
    </w:p>
    <w:p w14:paraId="03896542" w14:textId="77777777" w:rsidR="00454D99" w:rsidRPr="00454D99" w:rsidRDefault="00454D99" w:rsidP="00454D99">
      <w:r w:rsidRPr="00454D99">
        <w:t>Synthesis of BG-IR700</w:t>
      </w:r>
    </w:p>
    <w:p w14:paraId="48FE4FB8" w14:textId="77777777" w:rsidR="00454D99" w:rsidRPr="00454D99" w:rsidRDefault="00454D99" w:rsidP="00454D99">
      <w:r w:rsidRPr="00454D99">
        <w:t>Aliquot of 3</w:t>
      </w:r>
      <w:r w:rsidRPr="00454D99">
        <w:rPr>
          <w:rFonts w:ascii="MS Gothic" w:eastAsia="MS Gothic" w:hAnsi="MS Gothic" w:cs="MS Gothic" w:hint="eastAsia"/>
        </w:rPr>
        <w:t> </w:t>
      </w:r>
      <w:r w:rsidRPr="00454D99">
        <w:t>mg of IRDye700DX N-</w:t>
      </w:r>
      <w:proofErr w:type="spellStart"/>
      <w:r w:rsidRPr="00454D99">
        <w:t>hydroxysuccinimide</w:t>
      </w:r>
      <w:proofErr w:type="spellEnd"/>
      <w:r w:rsidRPr="00454D99">
        <w:t xml:space="preserve"> ester fluorophore (LI-COR Biosciences GmbH, Bad Homburg, Germany) was dissolved in 150</w:t>
      </w:r>
      <w:r w:rsidRPr="00454D99">
        <w:rPr>
          <w:rFonts w:ascii="MS Gothic" w:eastAsia="MS Gothic" w:hAnsi="MS Gothic" w:cs="MS Gothic" w:hint="eastAsia"/>
        </w:rPr>
        <w:t> </w:t>
      </w:r>
      <w:r w:rsidRPr="00454D99">
        <w:rPr>
          <w:rFonts w:ascii="等线" w:eastAsia="等线" w:hAnsi="等线" w:cs="等线" w:hint="eastAsia"/>
        </w:rPr>
        <w:t>μ</w:t>
      </w:r>
      <w:r w:rsidRPr="00454D99">
        <w:t>l DMSO and treated with 1.5</w:t>
      </w:r>
      <w:r w:rsidRPr="00454D99">
        <w:rPr>
          <w:rFonts w:ascii="MS Gothic" w:eastAsia="MS Gothic" w:hAnsi="MS Gothic" w:cs="MS Gothic" w:hint="eastAsia"/>
        </w:rPr>
        <w:t> </w:t>
      </w:r>
      <w:r w:rsidRPr="00454D99">
        <w:t>mg BG-PEG11-NH2 and 5</w:t>
      </w:r>
      <w:r w:rsidRPr="00454D99">
        <w:rPr>
          <w:rFonts w:ascii="MS Gothic" w:eastAsia="MS Gothic" w:hAnsi="MS Gothic" w:cs="MS Gothic" w:hint="eastAsia"/>
        </w:rPr>
        <w:t> </w:t>
      </w:r>
      <w:r w:rsidRPr="00454D99">
        <w:rPr>
          <w:rFonts w:ascii="等线" w:eastAsia="等线" w:hAnsi="等线" w:cs="等线" w:hint="eastAsia"/>
        </w:rPr>
        <w:t>μ</w:t>
      </w:r>
      <w:r w:rsidRPr="00454D99">
        <w:t>l diisopropylethylamine. After 1</w:t>
      </w:r>
      <w:r w:rsidRPr="00454D99">
        <w:rPr>
          <w:rFonts w:ascii="MS Gothic" w:eastAsia="MS Gothic" w:hAnsi="MS Gothic" w:cs="MS Gothic" w:hint="eastAsia"/>
        </w:rPr>
        <w:t> </w:t>
      </w:r>
      <w:r w:rsidRPr="00454D99">
        <w:t>h, the product BG-PEG11-IRDye700DX was purified by HPLC using a Waters Sunfire Prep C18 OBD 5</w:t>
      </w:r>
      <w:r w:rsidRPr="00454D99">
        <w:rPr>
          <w:rFonts w:ascii="MS Gothic" w:eastAsia="MS Gothic" w:hAnsi="MS Gothic" w:cs="MS Gothic" w:hint="eastAsia"/>
        </w:rPr>
        <w:t> </w:t>
      </w:r>
      <w:r w:rsidRPr="00454D99">
        <w:rPr>
          <w:rFonts w:ascii="等线" w:eastAsia="等线" w:hAnsi="等线" w:cs="等线" w:hint="eastAsia"/>
        </w:rPr>
        <w:t>µ</w:t>
      </w:r>
      <w:r w:rsidRPr="00454D99">
        <w:t>M; 19</w:t>
      </w:r>
      <w:r w:rsidRPr="00454D99">
        <w:rPr>
          <w:rFonts w:ascii="MS Gothic" w:eastAsia="MS Gothic" w:hAnsi="MS Gothic" w:cs="MS Gothic" w:hint="eastAsia"/>
        </w:rPr>
        <w:t> </w:t>
      </w:r>
      <w:r w:rsidRPr="00454D99">
        <w:rPr>
          <w:rFonts w:ascii="等线" w:eastAsia="等线" w:hAnsi="等线" w:cs="等线" w:hint="eastAsia"/>
        </w:rPr>
        <w:t>×</w:t>
      </w:r>
      <w:r w:rsidRPr="00454D99">
        <w:rPr>
          <w:rFonts w:ascii="MS Gothic" w:eastAsia="MS Gothic" w:hAnsi="MS Gothic" w:cs="MS Gothic" w:hint="eastAsia"/>
        </w:rPr>
        <w:t> </w:t>
      </w:r>
      <w:r w:rsidRPr="00454D99">
        <w:t>150</w:t>
      </w:r>
      <w:r w:rsidRPr="00454D99">
        <w:rPr>
          <w:rFonts w:ascii="MS Gothic" w:eastAsia="MS Gothic" w:hAnsi="MS Gothic" w:cs="MS Gothic" w:hint="eastAsia"/>
        </w:rPr>
        <w:t> </w:t>
      </w:r>
      <w:r w:rsidRPr="00454D99">
        <w:t>mm column using 0.1</w:t>
      </w:r>
      <w:r w:rsidRPr="00454D99">
        <w:rPr>
          <w:rFonts w:ascii="MS Gothic" w:eastAsia="MS Gothic" w:hAnsi="MS Gothic" w:cs="MS Gothic" w:hint="eastAsia"/>
        </w:rPr>
        <w:t> </w:t>
      </w:r>
      <w:r w:rsidRPr="00454D99">
        <w:t>M triethylammonium acetate (TEAA) (pH 7.0) and 0.1</w:t>
      </w:r>
      <w:r w:rsidRPr="00454D99">
        <w:rPr>
          <w:rFonts w:ascii="MS Gothic" w:eastAsia="MS Gothic" w:hAnsi="MS Gothic" w:cs="MS Gothic" w:hint="eastAsia"/>
        </w:rPr>
        <w:t> </w:t>
      </w:r>
      <w:r w:rsidRPr="00454D99">
        <w:t>M TEAA in water/acetonitrile 3:7 (pH 7.0) as mobile phases A and B, respectively. A linear gradient from 100% A to 100% B within 30</w:t>
      </w:r>
      <w:r w:rsidRPr="00454D99">
        <w:rPr>
          <w:rFonts w:ascii="MS Gothic" w:eastAsia="MS Gothic" w:hAnsi="MS Gothic" w:cs="MS Gothic" w:hint="eastAsia"/>
        </w:rPr>
        <w:t> </w:t>
      </w:r>
      <w:r w:rsidRPr="00454D99">
        <w:t>min was used. The fractions containing the product were lyophilized</w:t>
      </w:r>
      <w:hyperlink r:id="rId22" w:anchor="ref-CR67" w:tooltip="Brun, M. A., Tan, K. T., Nakata, E., Hinner, M. J. &amp; Johnsson, K. Semisynthetic fluorescent sensor proteins based on self-labeling protein tags. J. Am. Chem. Soc. 131, 5873–5884 (2009)." w:history="1">
        <w:r w:rsidRPr="00454D99">
          <w:rPr>
            <w:rStyle w:val="a7"/>
          </w:rPr>
          <w:t>67</w:t>
        </w:r>
      </w:hyperlink>
      <w:r w:rsidRPr="00454D99">
        <w:t>.</w:t>
      </w:r>
    </w:p>
    <w:p w14:paraId="5F452F44" w14:textId="77777777" w:rsidR="00454D99" w:rsidRPr="00454D99" w:rsidRDefault="00454D99" w:rsidP="00454D99">
      <w:r w:rsidRPr="00454D99">
        <w:t>In vitro labeling of BDNF-SNAP</w:t>
      </w:r>
    </w:p>
    <w:p w14:paraId="7C333358" w14:textId="77777777" w:rsidR="00454D99" w:rsidRPr="00454D99" w:rsidRDefault="00454D99" w:rsidP="00454D99">
      <w:r w:rsidRPr="00454D99">
        <w:t>HEK293T cells (ATCC, mycoplasma negative) were transfected with a combination of 0.125</w:t>
      </w:r>
      <w:r w:rsidRPr="00454D99">
        <w:rPr>
          <w:rFonts w:ascii="MS Gothic" w:eastAsia="MS Gothic" w:hAnsi="MS Gothic" w:cs="MS Gothic" w:hint="eastAsia"/>
        </w:rPr>
        <w:t> </w:t>
      </w:r>
      <w:r w:rsidRPr="00454D99">
        <w:rPr>
          <w:rFonts w:ascii="等线" w:eastAsia="等线" w:hAnsi="等线" w:cs="等线" w:hint="eastAsia"/>
        </w:rPr>
        <w:t>µ</w:t>
      </w:r>
      <w:r w:rsidRPr="00454D99">
        <w:t xml:space="preserve">g </w:t>
      </w:r>
      <w:proofErr w:type="spellStart"/>
      <w:r w:rsidRPr="00454D99">
        <w:t>trkB</w:t>
      </w:r>
      <w:proofErr w:type="spellEnd"/>
      <w:r w:rsidRPr="00454D99">
        <w:t>/</w:t>
      </w:r>
      <w:proofErr w:type="spellStart"/>
      <w:r w:rsidRPr="00454D99">
        <w:t>trkA</w:t>
      </w:r>
      <w:proofErr w:type="spellEnd"/>
      <w:r w:rsidRPr="00454D99">
        <w:t>/</w:t>
      </w:r>
      <w:proofErr w:type="spellStart"/>
      <w:r w:rsidRPr="00454D99">
        <w:t>trkC</w:t>
      </w:r>
      <w:proofErr w:type="spellEnd"/>
      <w:r w:rsidRPr="00454D99">
        <w:t xml:space="preserve"> in </w:t>
      </w:r>
      <w:proofErr w:type="spellStart"/>
      <w:r w:rsidRPr="00454D99">
        <w:t>pcDNA</w:t>
      </w:r>
      <w:proofErr w:type="spellEnd"/>
      <w:r w:rsidRPr="00454D99">
        <w:t xml:space="preserve"> plasmid and 0.125</w:t>
      </w:r>
      <w:r w:rsidRPr="00454D99">
        <w:rPr>
          <w:rFonts w:ascii="MS Gothic" w:eastAsia="MS Gothic" w:hAnsi="MS Gothic" w:cs="MS Gothic" w:hint="eastAsia"/>
        </w:rPr>
        <w:t> </w:t>
      </w:r>
      <w:r w:rsidRPr="00454D99">
        <w:rPr>
          <w:rFonts w:ascii="等线" w:eastAsia="等线" w:hAnsi="等线" w:cs="等线" w:hint="eastAsia"/>
        </w:rPr>
        <w:t>µ</w:t>
      </w:r>
      <w:r w:rsidRPr="00454D99">
        <w:t xml:space="preserve">g p75NTR (all gifts from Moses Chao, </w:t>
      </w:r>
      <w:proofErr w:type="spellStart"/>
      <w:r w:rsidRPr="00454D99">
        <w:t>Addgene</w:t>
      </w:r>
      <w:proofErr w:type="spellEnd"/>
      <w:r w:rsidRPr="00454D99">
        <w:t xml:space="preserve"> plasmid #24088, #24089, #24093, and #24091, respectively) using Lipofectamine 2000 (Invitrogen, 11668-019) in a medium containing DMEM (Gibco, 41966-029), 10% FBS, 1% penicillin/streptomycin. Before labeling, cells were incubated in serum-free medium for 1</w:t>
      </w:r>
      <w:r w:rsidRPr="00454D99">
        <w:rPr>
          <w:rFonts w:ascii="MS Gothic" w:eastAsia="MS Gothic" w:hAnsi="MS Gothic" w:cs="MS Gothic" w:hint="eastAsia"/>
        </w:rPr>
        <w:t> </w:t>
      </w:r>
      <w:r w:rsidRPr="00454D99">
        <w:t>h. Aliquot of 0.1</w:t>
      </w:r>
      <w:r w:rsidRPr="00454D99">
        <w:rPr>
          <w:rFonts w:ascii="MS Gothic" w:eastAsia="MS Gothic" w:hAnsi="MS Gothic" w:cs="MS Gothic" w:hint="eastAsia"/>
        </w:rPr>
        <w:t> </w:t>
      </w:r>
      <w:r w:rsidRPr="00454D99">
        <w:rPr>
          <w:rFonts w:ascii="等线" w:eastAsia="等线" w:hAnsi="等线" w:cs="等线" w:hint="eastAsia"/>
        </w:rPr>
        <w:t>µ</w:t>
      </w:r>
      <w:r w:rsidRPr="00454D99">
        <w:t>M BDNF</w:t>
      </w:r>
      <w:r w:rsidRPr="00454D99">
        <w:rPr>
          <w:vertAlign w:val="superscript"/>
        </w:rPr>
        <w:t>SNAP</w:t>
      </w:r>
      <w:r w:rsidRPr="00454D99">
        <w:t> was coupled to 0.3</w:t>
      </w:r>
      <w:r w:rsidRPr="00454D99">
        <w:rPr>
          <w:rFonts w:ascii="MS Gothic" w:eastAsia="MS Gothic" w:hAnsi="MS Gothic" w:cs="MS Gothic" w:hint="eastAsia"/>
        </w:rPr>
        <w:t> </w:t>
      </w:r>
      <w:r w:rsidRPr="00454D99">
        <w:rPr>
          <w:rFonts w:ascii="等线" w:eastAsia="等线" w:hAnsi="等线" w:cs="等线" w:hint="eastAsia"/>
        </w:rPr>
        <w:t>µ</w:t>
      </w:r>
      <w:r w:rsidRPr="00454D99">
        <w:t>M of SNAP-surface 647 (New England Biolabs, S9136S) for 1</w:t>
      </w:r>
      <w:r w:rsidRPr="00454D99">
        <w:rPr>
          <w:rFonts w:ascii="MS Gothic" w:eastAsia="MS Gothic" w:hAnsi="MS Gothic" w:cs="MS Gothic" w:hint="eastAsia"/>
        </w:rPr>
        <w:t> </w:t>
      </w:r>
      <w:proofErr w:type="spellStart"/>
      <w:r w:rsidRPr="00454D99">
        <w:t>h at</w:t>
      </w:r>
      <w:proofErr w:type="spellEnd"/>
      <w:r w:rsidRPr="00454D99">
        <w:t xml:space="preserve"> 37</w:t>
      </w:r>
      <w:r w:rsidRPr="00454D99">
        <w:rPr>
          <w:rFonts w:ascii="MS Gothic" w:eastAsia="MS Gothic" w:hAnsi="MS Gothic" w:cs="MS Gothic" w:hint="eastAsia"/>
        </w:rPr>
        <w:t> </w:t>
      </w:r>
      <w:r w:rsidRPr="00454D99">
        <w:rPr>
          <w:rFonts w:ascii="等线" w:eastAsia="等线" w:hAnsi="等线" w:cs="等线" w:hint="eastAsia"/>
        </w:rPr>
        <w:t>°</w:t>
      </w:r>
      <w:r w:rsidRPr="00454D99">
        <w:t>C and applied onto cells for 15</w:t>
      </w:r>
      <w:r w:rsidRPr="00454D99">
        <w:rPr>
          <w:rFonts w:ascii="MS Gothic" w:eastAsia="MS Gothic" w:hAnsi="MS Gothic" w:cs="MS Gothic" w:hint="eastAsia"/>
        </w:rPr>
        <w:t> </w:t>
      </w:r>
      <w:r w:rsidRPr="00454D99">
        <w:t>min at 4</w:t>
      </w:r>
      <w:r w:rsidRPr="00454D99">
        <w:rPr>
          <w:rFonts w:ascii="MS Gothic" w:eastAsia="MS Gothic" w:hAnsi="MS Gothic" w:cs="MS Gothic" w:hint="eastAsia"/>
        </w:rPr>
        <w:t> </w:t>
      </w:r>
      <w:r w:rsidRPr="00454D99">
        <w:rPr>
          <w:rFonts w:ascii="等线" w:eastAsia="等线" w:hAnsi="等线" w:cs="等线" w:hint="eastAsia"/>
        </w:rPr>
        <w:t>°</w:t>
      </w:r>
      <w:r w:rsidRPr="00454D99">
        <w:t xml:space="preserve">C and imaged using a Zeiss </w:t>
      </w:r>
      <w:proofErr w:type="spellStart"/>
      <w:r w:rsidRPr="00454D99">
        <w:t>AxioObserver</w:t>
      </w:r>
      <w:proofErr w:type="spellEnd"/>
      <w:r w:rsidRPr="00454D99">
        <w:t xml:space="preserve"> A1 microscope.</w:t>
      </w:r>
    </w:p>
    <w:p w14:paraId="431C717A" w14:textId="3AE709EC" w:rsidR="001F4B1E" w:rsidRDefault="00454D99" w:rsidP="001F4B1E">
      <w:r w:rsidRPr="00454D99">
        <w:t>DRG from TrkB</w:t>
      </w:r>
      <w:r w:rsidRPr="00454D99">
        <w:rPr>
          <w:vertAlign w:val="superscript"/>
        </w:rPr>
        <w:t>CreERT2</w:t>
      </w:r>
      <w:r w:rsidRPr="00454D99">
        <w:t>::RFP mice was collected in PBS and incubated in 1</w:t>
      </w:r>
      <w:r w:rsidRPr="00454D99">
        <w:rPr>
          <w:rFonts w:ascii="MS Gothic" w:eastAsia="MS Gothic" w:hAnsi="MS Gothic" w:cs="MS Gothic" w:hint="eastAsia"/>
        </w:rPr>
        <w:t> </w:t>
      </w:r>
      <w:r w:rsidRPr="00454D99">
        <w:t>mg/ml collagenase IV (Sigma-Aldrich, C5138) and 0.05% Trypsin (Gibco, 25300-054) for 25</w:t>
      </w:r>
      <w:r w:rsidRPr="00454D99">
        <w:rPr>
          <w:rFonts w:ascii="MS Gothic" w:eastAsia="MS Gothic" w:hAnsi="MS Gothic" w:cs="MS Gothic" w:hint="eastAsia"/>
        </w:rPr>
        <w:t> </w:t>
      </w:r>
      <w:r w:rsidRPr="00454D99">
        <w:t>min each at 37</w:t>
      </w:r>
      <w:r w:rsidRPr="00454D99">
        <w:rPr>
          <w:rFonts w:ascii="MS Gothic" w:eastAsia="MS Gothic" w:hAnsi="MS Gothic" w:cs="MS Gothic" w:hint="eastAsia"/>
        </w:rPr>
        <w:t> </w:t>
      </w:r>
      <w:r w:rsidRPr="00454D99">
        <w:rPr>
          <w:rFonts w:ascii="等线" w:eastAsia="等线" w:hAnsi="等线" w:cs="等线" w:hint="eastAsia"/>
        </w:rPr>
        <w:t>°</w:t>
      </w:r>
      <w:r w:rsidRPr="00454D99">
        <w:t>C. Cells were filtered and suspended in medium containing DMEM (Gibco, 41966-029), 10% heat inactivated fetal bovine serum (PAA, A15101), 0.8% glucose, and 100</w:t>
      </w:r>
      <w:r w:rsidRPr="00454D99">
        <w:rPr>
          <w:rFonts w:ascii="MS Gothic" w:eastAsia="MS Gothic" w:hAnsi="MS Gothic" w:cs="MS Gothic" w:hint="eastAsia"/>
        </w:rPr>
        <w:t> </w:t>
      </w:r>
      <w:r w:rsidRPr="00454D99">
        <w:t>U of penicillin/streptomycin (Gibco, 15140-122). Cells were plated on glass coverslips treated with poly-L-lysine and stored at 37</w:t>
      </w:r>
      <w:r w:rsidRPr="00454D99">
        <w:rPr>
          <w:rFonts w:ascii="MS Gothic" w:eastAsia="MS Gothic" w:hAnsi="MS Gothic" w:cs="MS Gothic" w:hint="eastAsia"/>
        </w:rPr>
        <w:t> </w:t>
      </w:r>
      <w:r w:rsidRPr="00454D99">
        <w:rPr>
          <w:rFonts w:ascii="等线" w:eastAsia="等线" w:hAnsi="等线" w:cs="等线" w:hint="eastAsia"/>
        </w:rPr>
        <w:t>°</w:t>
      </w:r>
      <w:r w:rsidRPr="00454D99">
        <w:t>C. An equimolar concentration of BDNF</w:t>
      </w:r>
      <w:r w:rsidRPr="00454D99">
        <w:rPr>
          <w:vertAlign w:val="superscript"/>
        </w:rPr>
        <w:t>SNAP</w:t>
      </w:r>
      <w:r w:rsidRPr="00454D99">
        <w:t> was coupled to a mixture of SNAP-Biotin (New England Biolabs, S9110S) and QD655 quantum dots (Invitrogen, Q10121MP) at 37</w:t>
      </w:r>
      <w:r w:rsidRPr="00454D99">
        <w:rPr>
          <w:rFonts w:ascii="MS Gothic" w:eastAsia="MS Gothic" w:hAnsi="MS Gothic" w:cs="MS Gothic" w:hint="eastAsia"/>
        </w:rPr>
        <w:t> </w:t>
      </w:r>
      <w:r w:rsidRPr="00454D99">
        <w:rPr>
          <w:rFonts w:ascii="等线" w:eastAsia="等线" w:hAnsi="等线" w:cs="等线" w:hint="eastAsia"/>
        </w:rPr>
        <w:t>°</w:t>
      </w:r>
      <w:r w:rsidRPr="00454D99">
        <w:t>C for 30</w:t>
      </w:r>
      <w:r w:rsidRPr="00454D99">
        <w:rPr>
          <w:rFonts w:ascii="MS Gothic" w:eastAsia="MS Gothic" w:hAnsi="MS Gothic" w:cs="MS Gothic" w:hint="eastAsia"/>
        </w:rPr>
        <w:t> </w:t>
      </w:r>
      <w:r w:rsidRPr="00454D99">
        <w:t>min. Cells were labeled with the above mixture for 5</w:t>
      </w:r>
      <w:r w:rsidRPr="00454D99">
        <w:rPr>
          <w:rFonts w:ascii="MS Gothic" w:eastAsia="MS Gothic" w:hAnsi="MS Gothic" w:cs="MS Gothic" w:hint="eastAsia"/>
        </w:rPr>
        <w:t> </w:t>
      </w:r>
      <w:r w:rsidRPr="00454D99">
        <w:t xml:space="preserve">min and imaged using a Zeiss </w:t>
      </w:r>
      <w:proofErr w:type="spellStart"/>
      <w:r w:rsidRPr="00454D99">
        <w:t>AxioObserver</w:t>
      </w:r>
      <w:proofErr w:type="spellEnd"/>
      <w:r w:rsidRPr="00454D99">
        <w:t xml:space="preserve"> A1 microscope.</w:t>
      </w:r>
      <w:r w:rsidR="001F4B1E">
        <w:br w:type="page"/>
      </w:r>
    </w:p>
    <w:p w14:paraId="10CA05D5" w14:textId="2AF8CF4B" w:rsidR="001F4B1E" w:rsidRDefault="001F4B1E" w:rsidP="001F4B1E">
      <w:r>
        <w:lastRenderedPageBreak/>
        <w:t>2</w:t>
      </w:r>
      <w:r>
        <w:rPr>
          <w:rFonts w:hint="eastAsia"/>
        </w:rPr>
        <w:t>.</w:t>
      </w:r>
      <w:hyperlink r:id="rId23" w:anchor="Sec2" w:history="1">
        <w:r w:rsidRPr="00D66956">
          <w:rPr>
            <w:rStyle w:val="a7"/>
            <w:rFonts w:hint="eastAsia"/>
          </w:rPr>
          <w:t>https://www.nature.com/articles/s41586-018-0515-2#Sec2</w:t>
        </w:r>
      </w:hyperlink>
    </w:p>
    <w:p w14:paraId="314E8044" w14:textId="77777777" w:rsidR="001F4B1E" w:rsidRDefault="001F4B1E" w:rsidP="001F4B1E"/>
    <w:p w14:paraId="2B9B79E9" w14:textId="77777777" w:rsidR="001F4B1E" w:rsidRPr="00A32E52" w:rsidRDefault="001F4B1E" w:rsidP="001F4B1E">
      <w:pPr>
        <w:rPr>
          <w:b/>
          <w:bCs/>
        </w:rPr>
      </w:pPr>
      <w:r w:rsidRPr="00A32E52">
        <w:rPr>
          <w:rFonts w:hint="eastAsia"/>
          <w:b/>
          <w:bCs/>
        </w:rPr>
        <w:t>Touch and tactile neuropathic pain sensitivity are set by corticospinal projections</w:t>
      </w:r>
    </w:p>
    <w:p w14:paraId="06A0A4E2" w14:textId="77777777" w:rsidR="001F4B1E" w:rsidRDefault="001F4B1E" w:rsidP="001F4B1E">
      <w:r>
        <w:rPr>
          <w:rFonts w:hint="eastAsia"/>
        </w:rPr>
        <w:t xml:space="preserve">Yuanyuan Liu, Alban </w:t>
      </w:r>
      <w:proofErr w:type="spellStart"/>
      <w:r>
        <w:rPr>
          <w:rFonts w:hint="eastAsia"/>
        </w:rPr>
        <w:t>Latremoliere</w:t>
      </w:r>
      <w:proofErr w:type="spellEnd"/>
      <w:r>
        <w:rPr>
          <w:rFonts w:hint="eastAsia"/>
        </w:rPr>
        <w:t xml:space="preserve">, Xinjian Li, </w:t>
      </w:r>
      <w:proofErr w:type="spellStart"/>
      <w:r>
        <w:rPr>
          <w:rFonts w:hint="eastAsia"/>
        </w:rPr>
        <w:t>Zicong</w:t>
      </w:r>
      <w:proofErr w:type="spellEnd"/>
      <w:r>
        <w:rPr>
          <w:rFonts w:hint="eastAsia"/>
        </w:rPr>
        <w:t xml:space="preserve"> Zhang, </w:t>
      </w:r>
      <w:proofErr w:type="spellStart"/>
      <w:r>
        <w:rPr>
          <w:rFonts w:hint="eastAsia"/>
        </w:rPr>
        <w:t>Mengying</w:t>
      </w:r>
      <w:proofErr w:type="spellEnd"/>
      <w:r>
        <w:rPr>
          <w:rFonts w:hint="eastAsia"/>
        </w:rPr>
        <w:t xml:space="preserve"> Chen, </w:t>
      </w:r>
      <w:proofErr w:type="spellStart"/>
      <w:r>
        <w:rPr>
          <w:rFonts w:hint="eastAsia"/>
        </w:rPr>
        <w:t>Xuhua</w:t>
      </w:r>
      <w:proofErr w:type="spellEnd"/>
      <w:r>
        <w:rPr>
          <w:rFonts w:hint="eastAsia"/>
        </w:rPr>
        <w:t xml:space="preserve"> Wang, Chao Fang, </w:t>
      </w:r>
      <w:proofErr w:type="spellStart"/>
      <w:r>
        <w:rPr>
          <w:rFonts w:hint="eastAsia"/>
        </w:rPr>
        <w:t>Junjie</w:t>
      </w:r>
      <w:proofErr w:type="spellEnd"/>
      <w:r>
        <w:rPr>
          <w:rFonts w:hint="eastAsia"/>
        </w:rPr>
        <w:t xml:space="preserve"> Zhu, Chloe Alexandre, Zhongyang Gao, Bo Chen, Xin Ding, </w:t>
      </w:r>
      <w:proofErr w:type="spellStart"/>
      <w:r>
        <w:rPr>
          <w:rFonts w:hint="eastAsia"/>
        </w:rPr>
        <w:t>Jin</w:t>
      </w:r>
      <w:proofErr w:type="spellEnd"/>
      <w:r>
        <w:rPr>
          <w:rFonts w:hint="eastAsia"/>
        </w:rPr>
        <w:t xml:space="preserve">-Yong Zhou, </w:t>
      </w:r>
      <w:proofErr w:type="spellStart"/>
      <w:r>
        <w:rPr>
          <w:rFonts w:hint="eastAsia"/>
        </w:rPr>
        <w:t>Yiming</w:t>
      </w:r>
      <w:proofErr w:type="spellEnd"/>
      <w:r>
        <w:rPr>
          <w:rFonts w:hint="eastAsia"/>
        </w:rPr>
        <w:t xml:space="preserve"> Zhang, </w:t>
      </w:r>
      <w:proofErr w:type="spellStart"/>
      <w:r>
        <w:rPr>
          <w:rFonts w:hint="eastAsia"/>
        </w:rPr>
        <w:t>Chinfei</w:t>
      </w:r>
      <w:proofErr w:type="spellEnd"/>
      <w:r>
        <w:rPr>
          <w:rFonts w:hint="eastAsia"/>
        </w:rPr>
        <w:t xml:space="preserve"> Chen, </w:t>
      </w:r>
      <w:proofErr w:type="spellStart"/>
      <w:r>
        <w:rPr>
          <w:rFonts w:hint="eastAsia"/>
        </w:rPr>
        <w:t>Kuan</w:t>
      </w:r>
      <w:proofErr w:type="spellEnd"/>
      <w:r>
        <w:rPr>
          <w:rFonts w:hint="eastAsia"/>
        </w:rPr>
        <w:t xml:space="preserve"> Hong Wang, Clifford J. Woolf &amp; </w:t>
      </w:r>
      <w:proofErr w:type="spellStart"/>
      <w:r>
        <w:rPr>
          <w:rFonts w:hint="eastAsia"/>
        </w:rPr>
        <w:t>Zhigang</w:t>
      </w:r>
      <w:proofErr w:type="spellEnd"/>
      <w:r>
        <w:rPr>
          <w:rFonts w:hint="eastAsia"/>
        </w:rPr>
        <w:t xml:space="preserve"> He </w:t>
      </w:r>
    </w:p>
    <w:p w14:paraId="5BE21F48" w14:textId="77777777" w:rsidR="001F4B1E" w:rsidRDefault="001F4B1E" w:rsidP="001F4B1E">
      <w:r>
        <w:rPr>
          <w:rFonts w:hint="eastAsia"/>
        </w:rPr>
        <w:t>Nature volume 561, pages547–550 (2018)Cite this article</w:t>
      </w:r>
    </w:p>
    <w:p w14:paraId="0CD6FB4E" w14:textId="77777777" w:rsidR="001F4B1E" w:rsidRDefault="001F4B1E" w:rsidP="001F4B1E"/>
    <w:p w14:paraId="2E739343" w14:textId="77777777" w:rsidR="001F4B1E" w:rsidRDefault="001F4B1E" w:rsidP="001F4B1E"/>
    <w:p w14:paraId="22E54676" w14:textId="77777777" w:rsidR="001F4B1E" w:rsidRDefault="001F4B1E" w:rsidP="001F4B1E">
      <w:r>
        <w:rPr>
          <w:rFonts w:hint="eastAsia"/>
          <w:noProof/>
        </w:rPr>
        <w:drawing>
          <wp:inline distT="0" distB="0" distL="0" distR="0" wp14:anchorId="63F7000F" wp14:editId="15CA29C6">
            <wp:extent cx="5505450" cy="4646705"/>
            <wp:effectExtent l="0" t="0" r="0" b="1905"/>
            <wp:docPr id="7546260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11359" cy="4651692"/>
                    </a:xfrm>
                    <a:prstGeom prst="rect">
                      <a:avLst/>
                    </a:prstGeom>
                    <a:noFill/>
                  </pic:spPr>
                </pic:pic>
              </a:graphicData>
            </a:graphic>
          </wp:inline>
        </w:drawing>
      </w:r>
    </w:p>
    <w:p w14:paraId="50CCDD88" w14:textId="77777777" w:rsidR="001F4B1E" w:rsidRDefault="001F4B1E" w:rsidP="001F4B1E">
      <w:proofErr w:type="spellStart"/>
      <w:r>
        <w:rPr>
          <w:rFonts w:hint="eastAsia"/>
        </w:rPr>
        <w:t>Behavioural</w:t>
      </w:r>
      <w:proofErr w:type="spellEnd"/>
      <w:r>
        <w:rPr>
          <w:rFonts w:hint="eastAsia"/>
        </w:rPr>
        <w:t xml:space="preserve"> experiments</w:t>
      </w:r>
    </w:p>
    <w:p w14:paraId="5E5B7AE1" w14:textId="77777777" w:rsidR="001F4B1E" w:rsidRDefault="001F4B1E" w:rsidP="001F4B1E">
      <w:r>
        <w:rPr>
          <w:rFonts w:hint="eastAsia"/>
        </w:rPr>
        <w:t>Contact heat pain (hot plate test)</w:t>
      </w:r>
    </w:p>
    <w:p w14:paraId="7685E6B9" w14:textId="77777777" w:rsidR="001F4B1E" w:rsidRDefault="001F4B1E" w:rsidP="001F4B1E">
      <w:r>
        <w:t>Mice were placed on a metallic plate heated to a set temperature (30, 50 or 54</w:t>
      </w:r>
      <w:r>
        <w:rPr>
          <w:rFonts w:ascii="MS Gothic" w:eastAsia="MS Gothic" w:hAnsi="MS Gothic" w:cs="MS Gothic" w:hint="eastAsia"/>
        </w:rPr>
        <w:t> </w:t>
      </w:r>
      <w:r>
        <w:rPr>
          <w:rFonts w:ascii="等线" w:eastAsia="等线" w:hAnsi="等线" w:cs="等线" w:hint="eastAsia"/>
        </w:rPr>
        <w:t>°</w:t>
      </w:r>
      <w:r>
        <w:t>C) within an acrylic container (</w:t>
      </w:r>
      <w:proofErr w:type="spellStart"/>
      <w:r>
        <w:t>Bioseb</w:t>
      </w:r>
      <w:proofErr w:type="spellEnd"/>
      <w:r>
        <w:t xml:space="preserve">), and videotaped. The latency to flinching and licking one of the </w:t>
      </w:r>
      <w:proofErr w:type="spellStart"/>
      <w:r>
        <w:t>hindpaws</w:t>
      </w:r>
      <w:proofErr w:type="spellEnd"/>
      <w:r>
        <w:t xml:space="preserve"> was blindly measured by video analysis. One temperature was te</w:t>
      </w:r>
      <w:r>
        <w:rPr>
          <w:rFonts w:hint="eastAsia"/>
        </w:rPr>
        <w:t>sted per day.</w:t>
      </w:r>
    </w:p>
    <w:p w14:paraId="09F13102" w14:textId="77777777" w:rsidR="001F4B1E" w:rsidRDefault="001F4B1E" w:rsidP="001F4B1E"/>
    <w:p w14:paraId="04F1DF7D" w14:textId="77777777" w:rsidR="001F4B1E" w:rsidRDefault="001F4B1E" w:rsidP="001F4B1E">
      <w:r>
        <w:rPr>
          <w:rFonts w:hint="eastAsia"/>
        </w:rPr>
        <w:t>Laser heat pain</w:t>
      </w:r>
    </w:p>
    <w:p w14:paraId="4E177602" w14:textId="77777777" w:rsidR="001F4B1E" w:rsidRDefault="001F4B1E" w:rsidP="001F4B1E">
      <w:r>
        <w:t>Individual mice were habituated for 20 min in a small (7.5</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7.5</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 xml:space="preserve">15 cm) plastic cage. A laser heat source (500 </w:t>
      </w:r>
      <w:proofErr w:type="spellStart"/>
      <w:r>
        <w:t>mW</w:t>
      </w:r>
      <w:proofErr w:type="spellEnd"/>
      <w:r>
        <w:t>, 445 nm; Shanghai Laser &amp; Optics Century) was targeted at the paw and the latency to withdraw was measured.</w:t>
      </w:r>
    </w:p>
    <w:p w14:paraId="7516FC05" w14:textId="77777777" w:rsidR="001F4B1E" w:rsidRDefault="001F4B1E" w:rsidP="001F4B1E"/>
    <w:p w14:paraId="0DCF4F18" w14:textId="77777777" w:rsidR="001F4B1E" w:rsidRDefault="001F4B1E" w:rsidP="001F4B1E">
      <w:r>
        <w:rPr>
          <w:rFonts w:hint="eastAsia"/>
        </w:rPr>
        <w:lastRenderedPageBreak/>
        <w:t>Acetone test (cold allodynia)</w:t>
      </w:r>
    </w:p>
    <w:p w14:paraId="651A082F" w14:textId="77777777" w:rsidR="001F4B1E" w:rsidRDefault="001F4B1E" w:rsidP="001F4B1E">
      <w:r>
        <w:t>Mice were habituated for 20 min in a small (7.5</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7.5</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 xml:space="preserve">15 cm) plastic cage and a small volume of acetone (5 </w:t>
      </w:r>
      <w:r>
        <w:rPr>
          <w:rFonts w:ascii="等线" w:eastAsia="等线" w:hAnsi="等线" w:cs="等线" w:hint="eastAsia"/>
        </w:rPr>
        <w:t>µ</w:t>
      </w:r>
      <w:r>
        <w:t xml:space="preserve">l) was applied onto the plantar surface of the </w:t>
      </w:r>
      <w:proofErr w:type="spellStart"/>
      <w:r>
        <w:t>hindpaw</w:t>
      </w:r>
      <w:proofErr w:type="spellEnd"/>
      <w:r>
        <w:t>. The time spent flinching or licking the paw was recorded for one minute.</w:t>
      </w:r>
    </w:p>
    <w:p w14:paraId="32B8E351" w14:textId="77777777" w:rsidR="001F4B1E" w:rsidRDefault="001F4B1E" w:rsidP="001F4B1E"/>
    <w:p w14:paraId="79F57802" w14:textId="77777777" w:rsidR="001F4B1E" w:rsidRDefault="001F4B1E" w:rsidP="001F4B1E">
      <w:r>
        <w:rPr>
          <w:rFonts w:hint="eastAsia"/>
        </w:rPr>
        <w:t>Pinprick</w:t>
      </w:r>
    </w:p>
    <w:p w14:paraId="5909DFE8" w14:textId="77777777" w:rsidR="001F4B1E" w:rsidRDefault="001F4B1E" w:rsidP="001F4B1E">
      <w:r>
        <w:t>Mice were habituated for 20 min in a small (7.5</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7.5</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 xml:space="preserve">15 cm) plastic cage. The tester used an Austerlitz pin (000; Fine Scientific Tools) to touch the plantar surface of the </w:t>
      </w:r>
      <w:proofErr w:type="spellStart"/>
      <w:r>
        <w:t>hindpaw</w:t>
      </w:r>
      <w:proofErr w:type="spellEnd"/>
      <w:r>
        <w:t xml:space="preserve"> without skin penetration. Numbers of withdrawal responses per 10 trials </w:t>
      </w:r>
      <w:r>
        <w:rPr>
          <w:rFonts w:hint="eastAsia"/>
        </w:rPr>
        <w:t>(within 1 min) were counted.</w:t>
      </w:r>
    </w:p>
    <w:p w14:paraId="6ADFB8CC" w14:textId="77777777" w:rsidR="001F4B1E" w:rsidRDefault="001F4B1E" w:rsidP="001F4B1E"/>
    <w:p w14:paraId="23C14B12" w14:textId="77777777" w:rsidR="001F4B1E" w:rsidRDefault="001F4B1E" w:rsidP="001F4B1E">
      <w:r>
        <w:rPr>
          <w:rFonts w:hint="eastAsia"/>
        </w:rPr>
        <w:t>Tape removal</w:t>
      </w:r>
    </w:p>
    <w:p w14:paraId="4969A6D0" w14:textId="77777777" w:rsidR="001F4B1E" w:rsidRDefault="001F4B1E" w:rsidP="001F4B1E">
      <w:r>
        <w:rPr>
          <w:rFonts w:hint="eastAsia"/>
        </w:rPr>
        <w:t xml:space="preserve">Mice were habituated in a transparent cylinder. A 9-mm diameter circular adhesive Microtube Tough-Spots label (Diversified Biotech) was attached to the plantar surface of the </w:t>
      </w:r>
      <w:proofErr w:type="spellStart"/>
      <w:r>
        <w:rPr>
          <w:rFonts w:hint="eastAsia"/>
        </w:rPr>
        <w:t>hindpaw</w:t>
      </w:r>
      <w:proofErr w:type="spellEnd"/>
      <w:r>
        <w:rPr>
          <w:rFonts w:hint="eastAsia"/>
        </w:rPr>
        <w:t>. The latency to biting or licking to remove the tape (sense time) was measured. Three measurements were performed per mouse.</w:t>
      </w:r>
    </w:p>
    <w:p w14:paraId="75315905" w14:textId="77777777" w:rsidR="001F4B1E" w:rsidRDefault="001F4B1E" w:rsidP="001F4B1E"/>
    <w:p w14:paraId="0130FE65" w14:textId="77777777" w:rsidR="001F4B1E" w:rsidRDefault="001F4B1E" w:rsidP="001F4B1E">
      <w:r>
        <w:rPr>
          <w:rFonts w:hint="eastAsia"/>
        </w:rPr>
        <w:t>Brush (dynamic mechanical stimuli)</w:t>
      </w:r>
    </w:p>
    <w:p w14:paraId="4F9C199E" w14:textId="77777777" w:rsidR="001F4B1E" w:rsidRDefault="001F4B1E" w:rsidP="001F4B1E">
      <w:r>
        <w:t>Each mouse was habituated in a small (7.5</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7.5</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 xml:space="preserve">15 cm) plastic cage for at least 20 min before testing. The plantar </w:t>
      </w:r>
      <w:proofErr w:type="spellStart"/>
      <w:r>
        <w:t>hindpaw</w:t>
      </w:r>
      <w:proofErr w:type="spellEnd"/>
      <w:r>
        <w:t xml:space="preserve"> was stimulated by light stroking from heel to toe with a paintbrush. For baseline dynamic mechanical sensitivity, the test was rep</w:t>
      </w:r>
      <w:r>
        <w:rPr>
          <w:rFonts w:hint="eastAsia"/>
        </w:rPr>
        <w:t>eated ten times. The number of occurrences of walking away or occasionally brief paw lifting was measured. For dynamic mechanical allodynia, the paw flinching/licking time was recorded as an indicator and averaged over three trials for individual animals.</w:t>
      </w:r>
    </w:p>
    <w:p w14:paraId="328FB3B1" w14:textId="77777777" w:rsidR="001F4B1E" w:rsidRDefault="001F4B1E" w:rsidP="001F4B1E"/>
    <w:p w14:paraId="4DED64D1" w14:textId="77777777" w:rsidR="001F4B1E" w:rsidRDefault="001F4B1E" w:rsidP="001F4B1E">
      <w:r>
        <w:rPr>
          <w:rFonts w:hint="eastAsia"/>
        </w:rPr>
        <w:t>von Frey filaments (punctate mechanical stimuli)</w:t>
      </w:r>
    </w:p>
    <w:p w14:paraId="274185C3" w14:textId="77777777" w:rsidR="001F4B1E" w:rsidRDefault="001F4B1E" w:rsidP="001F4B1E">
      <w:r>
        <w:t>Each mouse was habituated in a small (7.5</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7.5</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15 cm) plastic cage for at least 20 min before testing. Mechanical sensitivity was determined with a series of von Frey filaments (bending forces: 0.02, 0.04, 0.07, 0.16, 0.4, 0.6, 1 and 2 g) applied within</w:t>
      </w:r>
      <w:r>
        <w:rPr>
          <w:rFonts w:hint="eastAsia"/>
        </w:rPr>
        <w:t xml:space="preserve"> the sciatic nerve territory (lateral part of the </w:t>
      </w:r>
      <w:proofErr w:type="spellStart"/>
      <w:r>
        <w:rPr>
          <w:rFonts w:hint="eastAsia"/>
        </w:rPr>
        <w:t>hindpaw</w:t>
      </w:r>
      <w:proofErr w:type="spellEnd"/>
      <w:r>
        <w:rPr>
          <w:rFonts w:hint="eastAsia"/>
        </w:rPr>
        <w:t>). Each filament was tested ten times in increasing order from the lowest force. Between individual measurements, von Frey filaments were applied at least 3 s after the mice had returned to their initial resting state. For baseline static mechanical sensitivity, all filaments were applied and the number of withdrawals was recorded. For tactile allodynia, the minimal force filament for which animals presented either a brisk paw withdrawal and/or an escape attempt in response to at least five of the ten stimulations was determined as the mechanical response threshold.</w:t>
      </w:r>
    </w:p>
    <w:p w14:paraId="17B54988" w14:textId="77777777" w:rsidR="001F4B1E" w:rsidRDefault="001F4B1E" w:rsidP="001F4B1E"/>
    <w:p w14:paraId="20D2A905" w14:textId="77777777" w:rsidR="001F4B1E" w:rsidRDefault="001F4B1E" w:rsidP="001F4B1E">
      <w:r>
        <w:rPr>
          <w:rFonts w:hint="eastAsia"/>
        </w:rPr>
        <w:t>Open field</w:t>
      </w:r>
    </w:p>
    <w:p w14:paraId="4CAAEAA6" w14:textId="77777777" w:rsidR="001F4B1E" w:rsidRDefault="001F4B1E" w:rsidP="001F4B1E">
      <w:r>
        <w:rPr>
          <w:rFonts w:hint="eastAsia"/>
        </w:rPr>
        <w:t xml:space="preserve">To test overall locomotor activity, mice were individually placed on the side of a circular open arena that consisted of an unmarked floor enclosed by a 45 cm diameter wall and allowed to roam freely for 20 min. The arena was divided into the outermost periphery (wall), the </w:t>
      </w:r>
      <w:proofErr w:type="spellStart"/>
      <w:r>
        <w:rPr>
          <w:rFonts w:hint="eastAsia"/>
        </w:rPr>
        <w:t>centre</w:t>
      </w:r>
      <w:proofErr w:type="spellEnd"/>
      <w:r>
        <w:rPr>
          <w:rFonts w:hint="eastAsia"/>
        </w:rPr>
        <w:t xml:space="preserve"> of the arena (15 cm diameter), and the neutral zone between the </w:t>
      </w:r>
      <w:proofErr w:type="spellStart"/>
      <w:r>
        <w:rPr>
          <w:rFonts w:hint="eastAsia"/>
        </w:rPr>
        <w:t>centre</w:t>
      </w:r>
      <w:proofErr w:type="spellEnd"/>
      <w:r>
        <w:rPr>
          <w:rFonts w:hint="eastAsia"/>
        </w:rPr>
        <w:t xml:space="preserve"> and the wall (25 cm diameter). Video tracking software (</w:t>
      </w:r>
      <w:proofErr w:type="spellStart"/>
      <w:r>
        <w:rPr>
          <w:rFonts w:hint="eastAsia"/>
        </w:rPr>
        <w:t>Ethovision</w:t>
      </w:r>
      <w:proofErr w:type="spellEnd"/>
      <w:r>
        <w:rPr>
          <w:rFonts w:hint="eastAsia"/>
        </w:rPr>
        <w:t xml:space="preserve"> XT v11.5, </w:t>
      </w:r>
      <w:proofErr w:type="spellStart"/>
      <w:r>
        <w:rPr>
          <w:rFonts w:hint="eastAsia"/>
        </w:rPr>
        <w:t>Noldus</w:t>
      </w:r>
      <w:proofErr w:type="spellEnd"/>
      <w:r>
        <w:rPr>
          <w:rFonts w:hint="eastAsia"/>
        </w:rPr>
        <w:t xml:space="preserve"> BV) was used to quantify the distance travelled in each zone by the animal. The arena was housed in a dimly lit room (30 </w:t>
      </w:r>
      <w:r>
        <w:rPr>
          <w:rFonts w:hint="eastAsia"/>
        </w:rPr>
        <w:lastRenderedPageBreak/>
        <w:t>lx) with no noise, and examiners were not present in the room during testing, to ensure limited distractions to the mice.</w:t>
      </w:r>
    </w:p>
    <w:p w14:paraId="53F8C73B" w14:textId="77777777" w:rsidR="001F4B1E" w:rsidRDefault="001F4B1E" w:rsidP="001F4B1E"/>
    <w:p w14:paraId="0A0015FA" w14:textId="77777777" w:rsidR="001F4B1E" w:rsidRDefault="001F4B1E" w:rsidP="001F4B1E">
      <w:r>
        <w:rPr>
          <w:rFonts w:hint="eastAsia"/>
        </w:rPr>
        <w:t>Ground walking</w:t>
      </w:r>
    </w:p>
    <w:p w14:paraId="4057CEBE" w14:textId="77777777" w:rsidR="001F4B1E" w:rsidRDefault="001F4B1E" w:rsidP="001F4B1E">
      <w:r>
        <w:rPr>
          <w:rFonts w:hint="eastAsia"/>
        </w:rPr>
        <w:t xml:space="preserve">For ground walking, mice were placed in the </w:t>
      </w:r>
      <w:proofErr w:type="spellStart"/>
      <w:r>
        <w:rPr>
          <w:rFonts w:hint="eastAsia"/>
        </w:rPr>
        <w:t>MotoRater</w:t>
      </w:r>
      <w:proofErr w:type="spellEnd"/>
      <w:r>
        <w:rPr>
          <w:rFonts w:hint="eastAsia"/>
        </w:rPr>
        <w:t xml:space="preserve"> (TSE Systems)12 and kinematic analysis was performed based on data collected by the </w:t>
      </w:r>
      <w:proofErr w:type="spellStart"/>
      <w:r>
        <w:rPr>
          <w:rFonts w:hint="eastAsia"/>
        </w:rPr>
        <w:t>MotoRater</w:t>
      </w:r>
      <w:proofErr w:type="spellEnd"/>
      <w:r>
        <w:rPr>
          <w:rFonts w:hint="eastAsia"/>
        </w:rPr>
        <w:t>.</w:t>
      </w:r>
    </w:p>
    <w:p w14:paraId="03A32E56" w14:textId="77777777" w:rsidR="001F4B1E" w:rsidRDefault="001F4B1E" w:rsidP="001F4B1E"/>
    <w:p w14:paraId="26354E85" w14:textId="77777777" w:rsidR="001F4B1E" w:rsidRDefault="001F4B1E" w:rsidP="001F4B1E">
      <w:r>
        <w:rPr>
          <w:rFonts w:hint="eastAsia"/>
        </w:rPr>
        <w:t>Rotarod</w:t>
      </w:r>
    </w:p>
    <w:p w14:paraId="6611FD69" w14:textId="77777777" w:rsidR="001F4B1E" w:rsidRDefault="001F4B1E" w:rsidP="001F4B1E">
      <w:r>
        <w:rPr>
          <w:rFonts w:hint="eastAsia"/>
        </w:rPr>
        <w:t xml:space="preserve">Mice were trained five times on a single speed (15 </w:t>
      </w:r>
      <w:proofErr w:type="spellStart"/>
      <w:r>
        <w:rPr>
          <w:rFonts w:hint="eastAsia"/>
        </w:rPr>
        <w:t>r.p.m</w:t>
      </w:r>
      <w:proofErr w:type="spellEnd"/>
      <w:r>
        <w:rPr>
          <w:rFonts w:hint="eastAsia"/>
        </w:rPr>
        <w:t>.) rotarod (IITC Life Science). After that, the latency to fall was recorded on the next day. The experiment was repeated twice at 20-min intervals and the average was calculated as rotarod latency.</w:t>
      </w:r>
    </w:p>
    <w:p w14:paraId="5B338EB8" w14:textId="77777777" w:rsidR="001F4B1E" w:rsidRDefault="001F4B1E" w:rsidP="001F4B1E">
      <w:pPr>
        <w:widowControl/>
        <w:jc w:val="left"/>
      </w:pPr>
      <w:r>
        <w:rPr>
          <w:rFonts w:hint="eastAsia"/>
        </w:rPr>
        <w:br w:type="page"/>
      </w:r>
    </w:p>
    <w:p w14:paraId="3B1E3452" w14:textId="77777777" w:rsidR="00454D99" w:rsidRPr="001F4B1E" w:rsidRDefault="00454D99">
      <w:pPr>
        <w:widowControl/>
        <w:jc w:val="left"/>
      </w:pPr>
    </w:p>
    <w:p w14:paraId="18A0D7FE" w14:textId="3F74F12C" w:rsidR="00454D99" w:rsidRDefault="00A75605" w:rsidP="00454D99">
      <w:r>
        <w:rPr>
          <w:rFonts w:hint="eastAsia"/>
        </w:rPr>
        <w:t>3.</w:t>
      </w:r>
      <w:hyperlink r:id="rId25" w:history="1">
        <w:r w:rsidR="0026340A" w:rsidRPr="0026340A">
          <w:rPr>
            <w:rStyle w:val="a7"/>
          </w:rPr>
          <w:t>Conditional knockout of NaV1.6 in adult mice ameliorates neuropathic pain | Scientific Reports</w:t>
        </w:r>
      </w:hyperlink>
    </w:p>
    <w:p w14:paraId="183950EF" w14:textId="77777777" w:rsidR="0026340A" w:rsidRPr="00FA3CAA" w:rsidRDefault="0026340A" w:rsidP="00454D99"/>
    <w:p w14:paraId="46C01C5E" w14:textId="77777777" w:rsidR="0026340A" w:rsidRPr="0026340A" w:rsidRDefault="0026340A" w:rsidP="0026340A">
      <w:pPr>
        <w:rPr>
          <w:b/>
          <w:bCs/>
        </w:rPr>
      </w:pPr>
      <w:r w:rsidRPr="0026340A">
        <w:rPr>
          <w:rFonts w:hint="eastAsia"/>
          <w:b/>
          <w:bCs/>
        </w:rPr>
        <w:t>Conditional knockout of NaV1.6 in adult mice ameliorates neuropathic pain</w:t>
      </w:r>
    </w:p>
    <w:p w14:paraId="530D2A26" w14:textId="77777777" w:rsidR="0026340A" w:rsidRPr="0026340A" w:rsidRDefault="0026340A" w:rsidP="0026340A">
      <w:proofErr w:type="spellStart"/>
      <w:r w:rsidRPr="0026340A">
        <w:rPr>
          <w:rFonts w:hint="eastAsia"/>
        </w:rPr>
        <w:t>Lubin</w:t>
      </w:r>
      <w:proofErr w:type="spellEnd"/>
      <w:r w:rsidRPr="0026340A">
        <w:rPr>
          <w:rFonts w:hint="eastAsia"/>
        </w:rPr>
        <w:t xml:space="preserve"> Chen, </w:t>
      </w:r>
      <w:proofErr w:type="spellStart"/>
      <w:r w:rsidRPr="0026340A">
        <w:rPr>
          <w:rFonts w:hint="eastAsia"/>
        </w:rPr>
        <w:t>Jianying</w:t>
      </w:r>
      <w:proofErr w:type="spellEnd"/>
      <w:r w:rsidRPr="0026340A">
        <w:rPr>
          <w:rFonts w:hint="eastAsia"/>
        </w:rPr>
        <w:t xml:space="preserve"> Huang, Peng Zhao, Anna-Karin Persson, </w:t>
      </w:r>
      <w:proofErr w:type="spellStart"/>
      <w:r w:rsidRPr="0026340A">
        <w:rPr>
          <w:rFonts w:hint="eastAsia"/>
        </w:rPr>
        <w:t>Fadia</w:t>
      </w:r>
      <w:proofErr w:type="spellEnd"/>
      <w:r w:rsidRPr="0026340A">
        <w:rPr>
          <w:rFonts w:hint="eastAsia"/>
        </w:rPr>
        <w:t xml:space="preserve"> B. Dib-Hajj, </w:t>
      </w:r>
      <w:proofErr w:type="spellStart"/>
      <w:r w:rsidRPr="0026340A">
        <w:rPr>
          <w:rFonts w:hint="eastAsia"/>
        </w:rPr>
        <w:t>Xiaoyang</w:t>
      </w:r>
      <w:proofErr w:type="spellEnd"/>
      <w:r w:rsidRPr="0026340A">
        <w:rPr>
          <w:rFonts w:hint="eastAsia"/>
        </w:rPr>
        <w:t xml:space="preserve"> Cheng, Andrew Tan, Stephen G. Waxman &amp; </w:t>
      </w:r>
      <w:proofErr w:type="spellStart"/>
      <w:r w:rsidRPr="0026340A">
        <w:rPr>
          <w:rFonts w:hint="eastAsia"/>
        </w:rPr>
        <w:t>Sulayman</w:t>
      </w:r>
      <w:proofErr w:type="spellEnd"/>
      <w:r w:rsidRPr="0026340A">
        <w:rPr>
          <w:rFonts w:hint="eastAsia"/>
        </w:rPr>
        <w:t xml:space="preserve"> D. Dib-Hajj</w:t>
      </w:r>
    </w:p>
    <w:p w14:paraId="20677E2B" w14:textId="09DCAF2B" w:rsidR="0026340A" w:rsidRDefault="0026340A" w:rsidP="0026340A">
      <w:r>
        <w:rPr>
          <w:rFonts w:hint="eastAsia"/>
          <w:noProof/>
        </w:rPr>
        <w:drawing>
          <wp:inline distT="0" distB="0" distL="0" distR="0" wp14:anchorId="43660BDC" wp14:editId="19A62DB3">
            <wp:extent cx="5091463" cy="4829175"/>
            <wp:effectExtent l="0" t="0" r="0" b="0"/>
            <wp:docPr id="11679420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12890" cy="4849498"/>
                    </a:xfrm>
                    <a:prstGeom prst="rect">
                      <a:avLst/>
                    </a:prstGeom>
                    <a:noFill/>
                  </pic:spPr>
                </pic:pic>
              </a:graphicData>
            </a:graphic>
          </wp:inline>
        </w:drawing>
      </w:r>
    </w:p>
    <w:p w14:paraId="28C73656" w14:textId="380FF92B" w:rsidR="0026340A" w:rsidRDefault="0026340A" w:rsidP="0026340A">
      <w:r w:rsidRPr="0026340A">
        <w:t>Motor and acute pain behaviors in Na</w:t>
      </w:r>
      <w:r w:rsidRPr="0026340A">
        <w:rPr>
          <w:vertAlign w:val="subscript"/>
        </w:rPr>
        <w:t>V</w:t>
      </w:r>
      <w:r w:rsidRPr="0026340A">
        <w:t>1.8-Cre driven Na</w:t>
      </w:r>
      <w:r w:rsidRPr="0026340A">
        <w:rPr>
          <w:vertAlign w:val="subscript"/>
        </w:rPr>
        <w:t>V</w:t>
      </w:r>
      <w:r w:rsidRPr="0026340A">
        <w:t>1.6 KO mice. (</w:t>
      </w:r>
      <w:r w:rsidRPr="0026340A">
        <w:rPr>
          <w:b/>
          <w:bCs/>
        </w:rPr>
        <w:t>a</w:t>
      </w:r>
      <w:r w:rsidRPr="0026340A">
        <w:t>) Motor function: rotarod test (Control,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6; Na</w:t>
      </w:r>
      <w:r w:rsidRPr="0026340A">
        <w:rPr>
          <w:vertAlign w:val="subscript"/>
        </w:rPr>
        <w:t>V</w:t>
      </w:r>
      <w:r w:rsidRPr="0026340A">
        <w:t>1.6</w:t>
      </w:r>
      <w:r w:rsidRPr="0026340A">
        <w:rPr>
          <w:vertAlign w:val="superscript"/>
        </w:rPr>
        <w:t>Nav1.8</w:t>
      </w:r>
      <w:r w:rsidRPr="0026340A">
        <w:t> KO,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9). (</w:t>
      </w:r>
      <w:r w:rsidRPr="0026340A">
        <w:rPr>
          <w:b/>
          <w:bCs/>
        </w:rPr>
        <w:t>b</w:t>
      </w:r>
      <w:r w:rsidRPr="0026340A">
        <w:t>) Low-threshold mechanical threshold: von Frey test (Control,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8; Na</w:t>
      </w:r>
      <w:r w:rsidRPr="0026340A">
        <w:rPr>
          <w:vertAlign w:val="subscript"/>
        </w:rPr>
        <w:t>V</w:t>
      </w:r>
      <w:r w:rsidRPr="0026340A">
        <w:t>1.6</w:t>
      </w:r>
      <w:r w:rsidRPr="0026340A">
        <w:rPr>
          <w:vertAlign w:val="superscript"/>
        </w:rPr>
        <w:t>Nav1.8</w:t>
      </w:r>
      <w:r w:rsidRPr="0026340A">
        <w:t> KO,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10). (</w:t>
      </w:r>
      <w:r w:rsidRPr="0026340A">
        <w:rPr>
          <w:b/>
          <w:bCs/>
        </w:rPr>
        <w:t>c</w:t>
      </w:r>
      <w:r w:rsidRPr="0026340A">
        <w:t xml:space="preserve">) High-threshold mechanical threshold: Randall </w:t>
      </w:r>
      <w:proofErr w:type="spellStart"/>
      <w:r w:rsidRPr="0026340A">
        <w:t>Sellito</w:t>
      </w:r>
      <w:proofErr w:type="spellEnd"/>
      <w:r w:rsidRPr="0026340A">
        <w:t xml:space="preserve"> test (Control,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5; Na</w:t>
      </w:r>
      <w:r w:rsidRPr="0026340A">
        <w:rPr>
          <w:vertAlign w:val="subscript"/>
        </w:rPr>
        <w:t>V</w:t>
      </w:r>
      <w:r w:rsidRPr="0026340A">
        <w:t>1.6</w:t>
      </w:r>
      <w:r w:rsidRPr="0026340A">
        <w:rPr>
          <w:vertAlign w:val="superscript"/>
        </w:rPr>
        <w:t>Nav1.8</w:t>
      </w:r>
      <w:r w:rsidRPr="0026340A">
        <w:t> KO,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9). (</w:t>
      </w:r>
      <w:r w:rsidRPr="0026340A">
        <w:rPr>
          <w:b/>
          <w:bCs/>
        </w:rPr>
        <w:t>d</w:t>
      </w:r>
      <w:r w:rsidRPr="0026340A">
        <w:t>) Noxious heat (spinal reflex) threshold: Hargreaves test apparatus (Control,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8; Na</w:t>
      </w:r>
      <w:r w:rsidRPr="0026340A">
        <w:rPr>
          <w:vertAlign w:val="subscript"/>
        </w:rPr>
        <w:t>V</w:t>
      </w:r>
      <w:r w:rsidRPr="0026340A">
        <w:t>1.6</w:t>
      </w:r>
      <w:r w:rsidRPr="0026340A">
        <w:rPr>
          <w:vertAlign w:val="superscript"/>
        </w:rPr>
        <w:t>Nav1.8</w:t>
      </w:r>
      <w:r w:rsidRPr="0026340A">
        <w:t> KO,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10). (</w:t>
      </w:r>
      <w:r w:rsidRPr="0026340A">
        <w:rPr>
          <w:b/>
          <w:bCs/>
        </w:rPr>
        <w:t>e</w:t>
      </w:r>
      <w:r w:rsidRPr="0026340A">
        <w:t>) Noxious heat thresholds (Supraspinal response) measured using hot plate test at 52</w:t>
      </w:r>
      <w:r w:rsidRPr="0026340A">
        <w:rPr>
          <w:rFonts w:ascii="MS Gothic" w:eastAsia="MS Gothic" w:hAnsi="MS Gothic" w:cs="MS Gothic" w:hint="eastAsia"/>
        </w:rPr>
        <w:t> </w:t>
      </w:r>
      <w:r w:rsidRPr="0026340A">
        <w:rPr>
          <w:rFonts w:ascii="等线" w:eastAsia="等线" w:hAnsi="等线" w:cs="等线" w:hint="eastAsia"/>
        </w:rPr>
        <w:t>°</w:t>
      </w:r>
      <w:r w:rsidRPr="0026340A">
        <w:t>C and 56</w:t>
      </w:r>
      <w:r w:rsidRPr="0026340A">
        <w:rPr>
          <w:rFonts w:ascii="MS Gothic" w:eastAsia="MS Gothic" w:hAnsi="MS Gothic" w:cs="MS Gothic" w:hint="eastAsia"/>
        </w:rPr>
        <w:t> </w:t>
      </w:r>
      <w:r w:rsidRPr="0026340A">
        <w:rPr>
          <w:rFonts w:ascii="等线" w:eastAsia="等线" w:hAnsi="等线" w:cs="等线" w:hint="eastAsia"/>
        </w:rPr>
        <w:t>°</w:t>
      </w:r>
      <w:r w:rsidRPr="0026340A">
        <w:t>C (Control,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12; Na</w:t>
      </w:r>
      <w:r w:rsidRPr="0026340A">
        <w:rPr>
          <w:vertAlign w:val="subscript"/>
        </w:rPr>
        <w:t>V</w:t>
      </w:r>
      <w:r w:rsidRPr="0026340A">
        <w:t>1.6</w:t>
      </w:r>
      <w:r w:rsidRPr="0026340A">
        <w:rPr>
          <w:vertAlign w:val="superscript"/>
        </w:rPr>
        <w:t>Nav1.8</w:t>
      </w:r>
      <w:r w:rsidRPr="0026340A">
        <w:t> KO,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16). (</w:t>
      </w:r>
      <w:r w:rsidRPr="0026340A">
        <w:rPr>
          <w:b/>
          <w:bCs/>
        </w:rPr>
        <w:t>f</w:t>
      </w:r>
      <w:r w:rsidRPr="0026340A">
        <w:t>) Dynamic cold plate test: the number of jumps/paw lifts was measured as temperature of the plate is changed from 25</w:t>
      </w:r>
      <w:r w:rsidRPr="0026340A">
        <w:rPr>
          <w:rFonts w:ascii="MS Gothic" w:eastAsia="MS Gothic" w:hAnsi="MS Gothic" w:cs="MS Gothic" w:hint="eastAsia"/>
        </w:rPr>
        <w:t> </w:t>
      </w:r>
      <w:r w:rsidRPr="0026340A">
        <w:rPr>
          <w:rFonts w:ascii="等线" w:eastAsia="等线" w:hAnsi="等线" w:cs="等线" w:hint="eastAsia"/>
        </w:rPr>
        <w:t>°</w:t>
      </w:r>
      <w:r w:rsidRPr="0026340A">
        <w:t>C to 0.5</w:t>
      </w:r>
      <w:r w:rsidRPr="0026340A">
        <w:rPr>
          <w:rFonts w:ascii="MS Gothic" w:eastAsia="MS Gothic" w:hAnsi="MS Gothic" w:cs="MS Gothic" w:hint="eastAsia"/>
        </w:rPr>
        <w:t> </w:t>
      </w:r>
      <w:r w:rsidRPr="0026340A">
        <w:rPr>
          <w:rFonts w:ascii="等线" w:eastAsia="等线" w:hAnsi="等线" w:cs="等线" w:hint="eastAsia"/>
        </w:rPr>
        <w:t>°</w:t>
      </w:r>
      <w:r w:rsidRPr="0026340A">
        <w:t>C (Control,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4; Na</w:t>
      </w:r>
      <w:r w:rsidRPr="0026340A">
        <w:rPr>
          <w:vertAlign w:val="subscript"/>
        </w:rPr>
        <w:t>V</w:t>
      </w:r>
      <w:r w:rsidRPr="0026340A">
        <w:t>1.6</w:t>
      </w:r>
      <w:r w:rsidRPr="0026340A">
        <w:rPr>
          <w:vertAlign w:val="superscript"/>
        </w:rPr>
        <w:t>Nav1.8</w:t>
      </w:r>
      <w:r w:rsidRPr="0026340A">
        <w:t> KO,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9). (</w:t>
      </w:r>
      <w:r w:rsidRPr="0026340A">
        <w:rPr>
          <w:b/>
          <w:bCs/>
        </w:rPr>
        <w:t>j</w:t>
      </w:r>
      <w:r w:rsidRPr="0026340A">
        <w:t>) Thermal place preference test: the percentage of time spent at a test temperature (20</w:t>
      </w:r>
      <w:r w:rsidRPr="0026340A">
        <w:rPr>
          <w:rFonts w:ascii="MS Gothic" w:eastAsia="MS Gothic" w:hAnsi="MS Gothic" w:cs="MS Gothic" w:hint="eastAsia"/>
        </w:rPr>
        <w:t> </w:t>
      </w:r>
      <w:r w:rsidRPr="0026340A">
        <w:rPr>
          <w:rFonts w:ascii="等线" w:eastAsia="等线" w:hAnsi="等线" w:cs="等线" w:hint="eastAsia"/>
        </w:rPr>
        <w:t>°</w:t>
      </w:r>
      <w:r w:rsidRPr="0026340A">
        <w:t>C, 28</w:t>
      </w:r>
      <w:r w:rsidRPr="0026340A">
        <w:rPr>
          <w:rFonts w:ascii="MS Gothic" w:eastAsia="MS Gothic" w:hAnsi="MS Gothic" w:cs="MS Gothic" w:hint="eastAsia"/>
        </w:rPr>
        <w:t> </w:t>
      </w:r>
      <w:r w:rsidRPr="0026340A">
        <w:rPr>
          <w:rFonts w:ascii="等线" w:eastAsia="等线" w:hAnsi="等线" w:cs="等线" w:hint="eastAsia"/>
        </w:rPr>
        <w:t>°</w:t>
      </w:r>
      <w:r w:rsidRPr="0026340A">
        <w:t>C, 38</w:t>
      </w:r>
      <w:r w:rsidRPr="0026340A">
        <w:rPr>
          <w:rFonts w:ascii="MS Gothic" w:eastAsia="MS Gothic" w:hAnsi="MS Gothic" w:cs="MS Gothic" w:hint="eastAsia"/>
        </w:rPr>
        <w:t> </w:t>
      </w:r>
      <w:r w:rsidRPr="0026340A">
        <w:rPr>
          <w:rFonts w:ascii="等线" w:eastAsia="等线" w:hAnsi="等线" w:cs="等线" w:hint="eastAsia"/>
        </w:rPr>
        <w:t>°</w:t>
      </w:r>
      <w:r w:rsidRPr="0026340A">
        <w:t>C or 46</w:t>
      </w:r>
      <w:r w:rsidRPr="0026340A">
        <w:rPr>
          <w:rFonts w:ascii="MS Gothic" w:eastAsia="MS Gothic" w:hAnsi="MS Gothic" w:cs="MS Gothic" w:hint="eastAsia"/>
        </w:rPr>
        <w:t> </w:t>
      </w:r>
      <w:r w:rsidRPr="0026340A">
        <w:rPr>
          <w:rFonts w:ascii="等线" w:eastAsia="等线" w:hAnsi="等线" w:cs="等线" w:hint="eastAsia"/>
        </w:rPr>
        <w:t>°</w:t>
      </w:r>
      <w:r w:rsidRPr="0026340A">
        <w:t>C) versus control temperature 33</w:t>
      </w:r>
      <w:r w:rsidRPr="0026340A">
        <w:rPr>
          <w:rFonts w:ascii="MS Gothic" w:eastAsia="MS Gothic" w:hAnsi="MS Gothic" w:cs="MS Gothic" w:hint="eastAsia"/>
        </w:rPr>
        <w:t> </w:t>
      </w:r>
      <w:r w:rsidRPr="0026340A">
        <w:rPr>
          <w:rFonts w:ascii="等线" w:eastAsia="等线" w:hAnsi="等线" w:cs="等线" w:hint="eastAsia"/>
        </w:rPr>
        <w:t>°</w:t>
      </w:r>
      <w:r w:rsidRPr="0026340A">
        <w:t>C (Control,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7; Na</w:t>
      </w:r>
      <w:r w:rsidRPr="0026340A">
        <w:rPr>
          <w:vertAlign w:val="subscript"/>
        </w:rPr>
        <w:t>V</w:t>
      </w:r>
      <w:r w:rsidRPr="0026340A">
        <w:t>1.6</w:t>
      </w:r>
      <w:r w:rsidRPr="0026340A">
        <w:rPr>
          <w:vertAlign w:val="superscript"/>
        </w:rPr>
        <w:t>Nav1.8</w:t>
      </w:r>
      <w:r w:rsidRPr="0026340A">
        <w:t> KO,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9). (</w:t>
      </w:r>
      <w:r w:rsidRPr="0026340A">
        <w:rPr>
          <w:b/>
          <w:bCs/>
        </w:rPr>
        <w:t>g</w:t>
      </w:r>
      <w:r w:rsidRPr="0026340A">
        <w:t>) Noxious cold thresholds: cold plate test at 0.5</w:t>
      </w:r>
      <w:r w:rsidRPr="0026340A">
        <w:rPr>
          <w:rFonts w:ascii="MS Gothic" w:eastAsia="MS Gothic" w:hAnsi="MS Gothic" w:cs="MS Gothic" w:hint="eastAsia"/>
        </w:rPr>
        <w:t> </w:t>
      </w:r>
      <w:r w:rsidRPr="0026340A">
        <w:rPr>
          <w:rFonts w:ascii="等线" w:eastAsia="等线" w:hAnsi="等线" w:cs="等线" w:hint="eastAsia"/>
        </w:rPr>
        <w:t>°</w:t>
      </w:r>
      <w:r w:rsidRPr="0026340A">
        <w:t>C (Control,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10; Na</w:t>
      </w:r>
      <w:r w:rsidRPr="0026340A">
        <w:rPr>
          <w:vertAlign w:val="subscript"/>
        </w:rPr>
        <w:t>V</w:t>
      </w:r>
      <w:r w:rsidRPr="0026340A">
        <w:t>1.6</w:t>
      </w:r>
      <w:r w:rsidRPr="0026340A">
        <w:rPr>
          <w:vertAlign w:val="superscript"/>
        </w:rPr>
        <w:t>Nav1.8</w:t>
      </w:r>
      <w:r w:rsidRPr="0026340A">
        <w:t> KO,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10). (</w:t>
      </w:r>
      <w:r w:rsidRPr="0026340A">
        <w:rPr>
          <w:b/>
          <w:bCs/>
        </w:rPr>
        <w:t>h</w:t>
      </w:r>
      <w:r w:rsidRPr="0026340A">
        <w:t>) Cooling: dry ice test (Control,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 xml:space="preserve">5; </w:t>
      </w:r>
      <w:r w:rsidRPr="0026340A">
        <w:lastRenderedPageBreak/>
        <w:t>Na</w:t>
      </w:r>
      <w:r w:rsidRPr="0026340A">
        <w:rPr>
          <w:vertAlign w:val="subscript"/>
        </w:rPr>
        <w:t>V</w:t>
      </w:r>
      <w:r w:rsidRPr="0026340A">
        <w:t>1.6</w:t>
      </w:r>
      <w:r w:rsidRPr="0026340A">
        <w:rPr>
          <w:vertAlign w:val="superscript"/>
        </w:rPr>
        <w:t>Nav1.8</w:t>
      </w:r>
      <w:r w:rsidRPr="0026340A">
        <w:t> KO,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9). (</w:t>
      </w:r>
      <w:proofErr w:type="spellStart"/>
      <w:r w:rsidRPr="0026340A">
        <w:rPr>
          <w:b/>
          <w:bCs/>
        </w:rPr>
        <w:t>i</w:t>
      </w:r>
      <w:proofErr w:type="spellEnd"/>
      <w:r w:rsidRPr="0026340A">
        <w:t>) Cooling: acetone test (</w:t>
      </w:r>
      <w:proofErr w:type="spellStart"/>
      <w:r w:rsidRPr="0026340A">
        <w:t>Contorl</w:t>
      </w:r>
      <w:proofErr w:type="spellEnd"/>
      <w:r w:rsidRPr="0026340A">
        <w:t>,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5; Na</w:t>
      </w:r>
      <w:r w:rsidRPr="0026340A">
        <w:rPr>
          <w:vertAlign w:val="subscript"/>
        </w:rPr>
        <w:t>V</w:t>
      </w:r>
      <w:r w:rsidRPr="0026340A">
        <w:t>1.6</w:t>
      </w:r>
      <w:r w:rsidRPr="0026340A">
        <w:rPr>
          <w:vertAlign w:val="superscript"/>
        </w:rPr>
        <w:t>Nav1.8</w:t>
      </w:r>
      <w:r w:rsidRPr="0026340A">
        <w:t> KO, n</w:t>
      </w:r>
      <w:r w:rsidRPr="0026340A">
        <w:rPr>
          <w:rFonts w:ascii="MS Gothic" w:eastAsia="MS Gothic" w:hAnsi="MS Gothic" w:cs="MS Gothic" w:hint="eastAsia"/>
        </w:rPr>
        <w:t> </w:t>
      </w:r>
      <w:r w:rsidRPr="0026340A">
        <w:t>=</w:t>
      </w:r>
      <w:r w:rsidRPr="0026340A">
        <w:rPr>
          <w:rFonts w:ascii="MS Gothic" w:eastAsia="MS Gothic" w:hAnsi="MS Gothic" w:cs="MS Gothic" w:hint="eastAsia"/>
        </w:rPr>
        <w:t> </w:t>
      </w:r>
      <w:r w:rsidRPr="0026340A">
        <w:t>9). Color code: Control, white; Na</w:t>
      </w:r>
      <w:r w:rsidRPr="0026340A">
        <w:rPr>
          <w:vertAlign w:val="subscript"/>
        </w:rPr>
        <w:t>V</w:t>
      </w:r>
      <w:r w:rsidRPr="0026340A">
        <w:t>1.6</w:t>
      </w:r>
      <w:r w:rsidRPr="0026340A">
        <w:rPr>
          <w:vertAlign w:val="superscript"/>
        </w:rPr>
        <w:t>Nav1.8</w:t>
      </w:r>
      <w:r w:rsidRPr="0026340A">
        <w:t> KO, orange. Data are presented as mean</w:t>
      </w:r>
      <w:r w:rsidRPr="0026340A">
        <w:rPr>
          <w:rFonts w:ascii="MS Gothic" w:eastAsia="MS Gothic" w:hAnsi="MS Gothic" w:cs="MS Gothic" w:hint="eastAsia"/>
        </w:rPr>
        <w:t> </w:t>
      </w:r>
      <w:r w:rsidRPr="0026340A">
        <w:rPr>
          <w:rFonts w:ascii="等线" w:eastAsia="等线" w:hAnsi="等线" w:cs="等线" w:hint="eastAsia"/>
        </w:rPr>
        <w:t>±</w:t>
      </w:r>
      <w:r w:rsidRPr="0026340A">
        <w:rPr>
          <w:rFonts w:ascii="MS Gothic" w:eastAsia="MS Gothic" w:hAnsi="MS Gothic" w:cs="MS Gothic" w:hint="eastAsia"/>
        </w:rPr>
        <w:t> </w:t>
      </w:r>
      <w:r w:rsidRPr="0026340A">
        <w:t>SEM. No difference (</w:t>
      </w:r>
      <w:r w:rsidRPr="0026340A">
        <w:rPr>
          <w:i/>
          <w:iCs/>
        </w:rPr>
        <w:t>p</w:t>
      </w:r>
      <w:r w:rsidRPr="0026340A">
        <w:rPr>
          <w:rFonts w:ascii="MS Gothic" w:eastAsia="MS Gothic" w:hAnsi="MS Gothic" w:cs="MS Gothic" w:hint="eastAsia"/>
        </w:rPr>
        <w:t> </w:t>
      </w:r>
      <w:r w:rsidRPr="0026340A">
        <w:t>&gt;</w:t>
      </w:r>
      <w:r w:rsidRPr="0026340A">
        <w:rPr>
          <w:rFonts w:ascii="MS Gothic" w:eastAsia="MS Gothic" w:hAnsi="MS Gothic" w:cs="MS Gothic" w:hint="eastAsia"/>
        </w:rPr>
        <w:t> </w:t>
      </w:r>
      <w:r w:rsidRPr="0026340A">
        <w:t>0.05) was observed based on unpaired</w:t>
      </w:r>
      <w:r w:rsidRPr="0026340A">
        <w:rPr>
          <w:rFonts w:ascii="等线" w:eastAsia="等线" w:hAnsi="等线" w:cs="等线" w:hint="eastAsia"/>
        </w:rPr>
        <w:t> </w:t>
      </w:r>
      <w:r w:rsidRPr="0026340A">
        <w:rPr>
          <w:i/>
          <w:iCs/>
        </w:rPr>
        <w:t>t</w:t>
      </w:r>
      <w:r w:rsidRPr="0026340A">
        <w:t> test.</w:t>
      </w:r>
    </w:p>
    <w:p w14:paraId="5310366F" w14:textId="77777777" w:rsidR="0055653F" w:rsidRDefault="0055653F" w:rsidP="0026340A"/>
    <w:p w14:paraId="5147B238" w14:textId="0E33B7B7" w:rsidR="0055653F" w:rsidRDefault="0055653F" w:rsidP="0026340A">
      <w:r>
        <w:rPr>
          <w:rFonts w:hint="eastAsia"/>
          <w:noProof/>
        </w:rPr>
        <w:drawing>
          <wp:inline distT="0" distB="0" distL="0" distR="0" wp14:anchorId="21958DCE" wp14:editId="1777A648">
            <wp:extent cx="4013341" cy="4757420"/>
            <wp:effectExtent l="0" t="0" r="6350" b="5080"/>
            <wp:docPr id="57932060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31929" cy="4779454"/>
                    </a:xfrm>
                    <a:prstGeom prst="rect">
                      <a:avLst/>
                    </a:prstGeom>
                    <a:noFill/>
                  </pic:spPr>
                </pic:pic>
              </a:graphicData>
            </a:graphic>
          </wp:inline>
        </w:drawing>
      </w:r>
    </w:p>
    <w:p w14:paraId="00CCA85E" w14:textId="77777777" w:rsidR="0055653F" w:rsidRPr="0055653F" w:rsidRDefault="0055653F" w:rsidP="0055653F">
      <w:r w:rsidRPr="0055653F">
        <w:t>AAV-Cre mediated Na</w:t>
      </w:r>
      <w:r w:rsidRPr="0055653F">
        <w:rPr>
          <w:vertAlign w:val="subscript"/>
        </w:rPr>
        <w:t>V</w:t>
      </w:r>
      <w:r w:rsidRPr="0055653F">
        <w:t>1.6 knockout in adult mice attenuates SNI-induced mechanical allodynia. (</w:t>
      </w:r>
      <w:r w:rsidRPr="0055653F">
        <w:rPr>
          <w:b/>
          <w:bCs/>
        </w:rPr>
        <w:t>a</w:t>
      </w:r>
      <w:r w:rsidRPr="0055653F">
        <w:t xml:space="preserve">) Representative images of L4 DRG sections showing AAV-GFP and AAV-Cre infected DRG neurons, which are marked by GFP and </w:t>
      </w:r>
      <w:proofErr w:type="spellStart"/>
      <w:r w:rsidRPr="0055653F">
        <w:t>tdTomato</w:t>
      </w:r>
      <w:proofErr w:type="spellEnd"/>
      <w:r w:rsidRPr="0055653F">
        <w:t xml:space="preserve">, respectively. Neurons were identified by the neuronal marker </w:t>
      </w:r>
      <w:proofErr w:type="spellStart"/>
      <w:r w:rsidRPr="0055653F">
        <w:t>NeuN</w:t>
      </w:r>
      <w:proofErr w:type="spellEnd"/>
      <w:r w:rsidRPr="0055653F">
        <w:t>. Scale bar</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50</w:t>
      </w:r>
      <w:r w:rsidRPr="0055653F">
        <w:rPr>
          <w:rFonts w:ascii="MS Gothic" w:eastAsia="MS Gothic" w:hAnsi="MS Gothic" w:cs="MS Gothic" w:hint="eastAsia"/>
        </w:rPr>
        <w:t> </w:t>
      </w:r>
      <w:r w:rsidRPr="0055653F">
        <w:rPr>
          <w:rFonts w:ascii="等线" w:eastAsia="等线" w:hAnsi="等线" w:cs="等线" w:hint="eastAsia"/>
        </w:rPr>
        <w:t>µ</w:t>
      </w:r>
      <w:r w:rsidRPr="0055653F">
        <w:t>m. (</w:t>
      </w:r>
      <w:r w:rsidRPr="0055653F">
        <w:rPr>
          <w:b/>
          <w:bCs/>
        </w:rPr>
        <w:t>b</w:t>
      </w:r>
      <w:r w:rsidRPr="0055653F">
        <w:t>) Size distribution of AAV-GFP and AAV-Cre infected DRG neurons. (AAV-GFP: expressed in 245 out of 485 L4 DRG neurons,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3; AAV-Cre: expressed in 275 out of 502 L4 DRG neurons,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4). (</w:t>
      </w:r>
      <w:r w:rsidRPr="0055653F">
        <w:rPr>
          <w:b/>
          <w:bCs/>
        </w:rPr>
        <w:t>c</w:t>
      </w:r>
      <w:r w:rsidRPr="0055653F">
        <w:t>) Noxious heat thresholds measured by hot plate test in AAV-GFP control (WT control,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8) and AAV-Cre mediated Na</w:t>
      </w:r>
      <w:r w:rsidRPr="0055653F">
        <w:rPr>
          <w:vertAlign w:val="subscript"/>
        </w:rPr>
        <w:t>V</w:t>
      </w:r>
      <w:r w:rsidRPr="0055653F">
        <w:t>1.6 knockout (Na</w:t>
      </w:r>
      <w:r w:rsidRPr="0055653F">
        <w:rPr>
          <w:vertAlign w:val="subscript"/>
        </w:rPr>
        <w:t>V</w:t>
      </w:r>
      <w:r w:rsidRPr="0055653F">
        <w:t>1.6</w:t>
      </w:r>
      <w:r w:rsidRPr="0055653F">
        <w:rPr>
          <w:vertAlign w:val="superscript"/>
        </w:rPr>
        <w:t>AAV</w:t>
      </w:r>
      <w:r w:rsidRPr="0055653F">
        <w:t> KO,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15). (</w:t>
      </w:r>
      <w:r w:rsidRPr="0055653F">
        <w:rPr>
          <w:b/>
          <w:bCs/>
        </w:rPr>
        <w:t>d</w:t>
      </w:r>
      <w:r w:rsidRPr="0055653F">
        <w:t>) Noxious heat thresholds: Hargreaves test (WT control,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7; Na</w:t>
      </w:r>
      <w:r w:rsidRPr="0055653F">
        <w:rPr>
          <w:vertAlign w:val="subscript"/>
        </w:rPr>
        <w:t>V</w:t>
      </w:r>
      <w:r w:rsidRPr="0055653F">
        <w:t>1.6</w:t>
      </w:r>
      <w:r w:rsidRPr="0055653F">
        <w:rPr>
          <w:vertAlign w:val="superscript"/>
        </w:rPr>
        <w:t>AAV</w:t>
      </w:r>
      <w:r w:rsidRPr="0055653F">
        <w:t> KO,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11). (</w:t>
      </w:r>
      <w:r w:rsidRPr="0055653F">
        <w:rPr>
          <w:b/>
          <w:bCs/>
        </w:rPr>
        <w:t>e</w:t>
      </w:r>
      <w:r w:rsidRPr="0055653F">
        <w:t>) Noxious cold thresholds: cold plate test (WT control,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5; Na</w:t>
      </w:r>
      <w:r w:rsidRPr="0055653F">
        <w:rPr>
          <w:vertAlign w:val="subscript"/>
        </w:rPr>
        <w:t>V</w:t>
      </w:r>
      <w:r w:rsidRPr="0055653F">
        <w:t>1.6</w:t>
      </w:r>
      <w:r w:rsidRPr="0055653F">
        <w:rPr>
          <w:vertAlign w:val="superscript"/>
        </w:rPr>
        <w:t>AAV</w:t>
      </w:r>
      <w:r w:rsidRPr="0055653F">
        <w:t> KO,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7). (</w:t>
      </w:r>
      <w:r w:rsidRPr="0055653F">
        <w:rPr>
          <w:b/>
          <w:bCs/>
        </w:rPr>
        <w:t>f</w:t>
      </w:r>
      <w:r w:rsidRPr="0055653F">
        <w:t>) Noxious mechanical thresholds measured using von Frey test (WT control,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6; Na</w:t>
      </w:r>
      <w:r w:rsidRPr="0055653F">
        <w:rPr>
          <w:vertAlign w:val="subscript"/>
        </w:rPr>
        <w:t>V</w:t>
      </w:r>
      <w:r w:rsidRPr="0055653F">
        <w:t>1.6</w:t>
      </w:r>
      <w:r w:rsidRPr="0055653F">
        <w:rPr>
          <w:vertAlign w:val="superscript"/>
        </w:rPr>
        <w:t>AAV</w:t>
      </w:r>
      <w:r w:rsidRPr="0055653F">
        <w:t> KO,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11). (</w:t>
      </w:r>
      <w:r w:rsidRPr="0055653F">
        <w:rPr>
          <w:b/>
          <w:bCs/>
        </w:rPr>
        <w:t>g</w:t>
      </w:r>
      <w:r w:rsidRPr="0055653F">
        <w:t>) Mechanical allodynia following SNI was measured by the von Frey test in WT control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10) and Nav1.6</w:t>
      </w:r>
      <w:r w:rsidRPr="0055653F">
        <w:rPr>
          <w:vertAlign w:val="superscript"/>
        </w:rPr>
        <w:t>AAV</w:t>
      </w:r>
      <w:r w:rsidRPr="0055653F">
        <w:t> KO mice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12). Difference between the two groups was significant at week 1 (p</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0.0226), week 4 (p</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0.0455) and week 6 (p</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0.0336) post-surgery. (</w:t>
      </w:r>
      <w:r w:rsidRPr="0055653F">
        <w:rPr>
          <w:b/>
          <w:bCs/>
        </w:rPr>
        <w:t>h</w:t>
      </w:r>
      <w:r w:rsidRPr="0055653F">
        <w:t xml:space="preserve">) Thermal threshold measured by Hargreaves test was not changed compared to baseline in both WT </w:t>
      </w:r>
      <w:r w:rsidRPr="0055653F">
        <w:lastRenderedPageBreak/>
        <w:t>control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14) and Nav1.6</w:t>
      </w:r>
      <w:r w:rsidRPr="0055653F">
        <w:rPr>
          <w:vertAlign w:val="superscript"/>
        </w:rPr>
        <w:t>AAV</w:t>
      </w:r>
      <w:r w:rsidRPr="0055653F">
        <w:t> KO mice (n</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15). Data are presented as mean</w:t>
      </w:r>
      <w:r w:rsidRPr="0055653F">
        <w:rPr>
          <w:rFonts w:ascii="MS Gothic" w:eastAsia="MS Gothic" w:hAnsi="MS Gothic" w:cs="MS Gothic" w:hint="eastAsia"/>
        </w:rPr>
        <w:t> </w:t>
      </w:r>
      <w:r w:rsidRPr="0055653F">
        <w:rPr>
          <w:rFonts w:ascii="等线" w:eastAsia="等线" w:hAnsi="等线" w:cs="等线" w:hint="eastAsia"/>
        </w:rPr>
        <w:t>±</w:t>
      </w:r>
      <w:r w:rsidRPr="0055653F">
        <w:rPr>
          <w:rFonts w:ascii="MS Gothic" w:eastAsia="MS Gothic" w:hAnsi="MS Gothic" w:cs="MS Gothic" w:hint="eastAsia"/>
        </w:rPr>
        <w:t> </w:t>
      </w:r>
      <w:r w:rsidRPr="0055653F">
        <w:t>SEM. *</w:t>
      </w:r>
      <w:r w:rsidRPr="0055653F">
        <w:rPr>
          <w:i/>
          <w:iCs/>
        </w:rPr>
        <w:t>p</w:t>
      </w:r>
      <w:r w:rsidRPr="0055653F">
        <w:rPr>
          <w:rFonts w:ascii="MS Gothic" w:eastAsia="MS Gothic" w:hAnsi="MS Gothic" w:cs="MS Gothic" w:hint="eastAsia"/>
        </w:rPr>
        <w:t> </w:t>
      </w:r>
      <w:r w:rsidRPr="0055653F">
        <w:t>&lt;</w:t>
      </w:r>
      <w:r w:rsidRPr="0055653F">
        <w:rPr>
          <w:rFonts w:ascii="MS Gothic" w:eastAsia="MS Gothic" w:hAnsi="MS Gothic" w:cs="MS Gothic" w:hint="eastAsia"/>
        </w:rPr>
        <w:t> </w:t>
      </w:r>
      <w:r w:rsidRPr="0055653F">
        <w:t>0.05 based on two-way ANOVA followed by Bonferroni post hoc test.</w:t>
      </w:r>
    </w:p>
    <w:p w14:paraId="0CA96CCB" w14:textId="308CE707" w:rsidR="0055653F" w:rsidRDefault="0055653F" w:rsidP="0055653F"/>
    <w:p w14:paraId="7D89AD7E" w14:textId="77777777" w:rsidR="0055653F" w:rsidRDefault="0055653F" w:rsidP="0055653F"/>
    <w:p w14:paraId="1827BD35" w14:textId="77777777" w:rsidR="0055653F" w:rsidRPr="0055653F" w:rsidRDefault="0055653F" w:rsidP="0055653F">
      <w:r w:rsidRPr="0055653F">
        <w:t>Behavioral assays</w:t>
      </w:r>
    </w:p>
    <w:p w14:paraId="479251B3" w14:textId="77777777" w:rsidR="0055653F" w:rsidRPr="0055653F" w:rsidRDefault="0055653F" w:rsidP="0055653F">
      <w:r w:rsidRPr="0055653F">
        <w:t>All animals were acclimatized to the testing apparatus in three one-hour habituation sessions. One experimenter blind to genotypes or treatment groups performed all behavioral tests.</w:t>
      </w:r>
    </w:p>
    <w:p w14:paraId="535529C0" w14:textId="77777777" w:rsidR="0055653F" w:rsidRPr="0055653F" w:rsidRDefault="0055653F" w:rsidP="0055653F">
      <w:pPr>
        <w:rPr>
          <w:b/>
          <w:bCs/>
        </w:rPr>
      </w:pPr>
      <w:r w:rsidRPr="0055653F">
        <w:rPr>
          <w:b/>
          <w:bCs/>
        </w:rPr>
        <w:t>Rotarod test</w:t>
      </w:r>
    </w:p>
    <w:p w14:paraId="052F8FE8" w14:textId="77777777" w:rsidR="0055653F" w:rsidRPr="0055653F" w:rsidRDefault="0055653F" w:rsidP="0055653F">
      <w:r w:rsidRPr="0055653F">
        <w:t xml:space="preserve">To assess sensorimotor coordination, animals were placed onto the Rotarod apparatus running at 4 </w:t>
      </w:r>
      <w:proofErr w:type="spellStart"/>
      <w:r w:rsidRPr="0055653F">
        <w:t>r.p.m</w:t>
      </w:r>
      <w:proofErr w:type="spellEnd"/>
      <w:r w:rsidRPr="0055653F">
        <w:t xml:space="preserve">., which was then accelerated to a maximum of 40 </w:t>
      </w:r>
      <w:proofErr w:type="spellStart"/>
      <w:r w:rsidRPr="0055653F">
        <w:t>r.p.m</w:t>
      </w:r>
      <w:proofErr w:type="spellEnd"/>
      <w:r w:rsidRPr="0055653F">
        <w:t>. in 150</w:t>
      </w:r>
      <w:r w:rsidRPr="0055653F">
        <w:rPr>
          <w:rFonts w:ascii="MS Gothic" w:eastAsia="MS Gothic" w:hAnsi="MS Gothic" w:cs="MS Gothic" w:hint="eastAsia"/>
        </w:rPr>
        <w:t> </w:t>
      </w:r>
      <w:r w:rsidRPr="0055653F">
        <w:t>s. The time spent on the rotating rod was recorded with the cutoff time of 180</w:t>
      </w:r>
      <w:r w:rsidRPr="0055653F">
        <w:rPr>
          <w:rFonts w:ascii="MS Gothic" w:eastAsia="MS Gothic" w:hAnsi="MS Gothic" w:cs="MS Gothic" w:hint="eastAsia"/>
        </w:rPr>
        <w:t> </w:t>
      </w:r>
      <w:r w:rsidRPr="0055653F">
        <w:t>s.</w:t>
      </w:r>
    </w:p>
    <w:p w14:paraId="0CB07301" w14:textId="77777777" w:rsidR="0055653F" w:rsidRPr="0055653F" w:rsidRDefault="0055653F" w:rsidP="0055653F">
      <w:pPr>
        <w:rPr>
          <w:b/>
          <w:bCs/>
        </w:rPr>
      </w:pPr>
      <w:r w:rsidRPr="0055653F">
        <w:rPr>
          <w:b/>
          <w:bCs/>
        </w:rPr>
        <w:t xml:space="preserve">von Frey </w:t>
      </w:r>
      <w:proofErr w:type="gramStart"/>
      <w:r w:rsidRPr="0055653F">
        <w:rPr>
          <w:b/>
          <w:bCs/>
        </w:rPr>
        <w:t>test</w:t>
      </w:r>
      <w:proofErr w:type="gramEnd"/>
    </w:p>
    <w:p w14:paraId="683897EC" w14:textId="77777777" w:rsidR="0055653F" w:rsidRPr="0055653F" w:rsidRDefault="0055653F" w:rsidP="0055653F">
      <w:r w:rsidRPr="0055653F">
        <w:t>To measure mechanical thresholds, mice were placed on an elevated wire grid and the plantar surface of the left paw (ipsilateral to the surgery/injection) of each animal was presented with a series of calibrated von Frey hairs (</w:t>
      </w:r>
      <w:proofErr w:type="spellStart"/>
      <w:r w:rsidRPr="0055653F">
        <w:t>Stoeling</w:t>
      </w:r>
      <w:proofErr w:type="spellEnd"/>
      <w:r w:rsidRPr="0055653F">
        <w:t>, Wood Dale, IL). The 50% withdrawal threshold was determined using the “up-down” method</w:t>
      </w:r>
      <w:hyperlink r:id="rId28" w:anchor="ref-CR63" w:tooltip="Chaplan, S. R., Bach, F. W., Pogrel, J. W., Chung, J. M. &amp; Yaksh, T. L. Quantitative assessment of tactile allodynia in the rat paw. Journal of neuroscience methods 53, 55–63 (1994)." w:history="1">
        <w:r w:rsidRPr="0055653F">
          <w:rPr>
            <w:rStyle w:val="a7"/>
          </w:rPr>
          <w:t>63</w:t>
        </w:r>
      </w:hyperlink>
      <w:r w:rsidRPr="0055653F">
        <w:t>.</w:t>
      </w:r>
    </w:p>
    <w:p w14:paraId="5E29192A" w14:textId="77777777" w:rsidR="0055653F" w:rsidRPr="0055653F" w:rsidRDefault="0055653F" w:rsidP="0055653F">
      <w:pPr>
        <w:rPr>
          <w:b/>
          <w:bCs/>
        </w:rPr>
      </w:pPr>
      <w:r w:rsidRPr="0055653F">
        <w:rPr>
          <w:b/>
          <w:bCs/>
        </w:rPr>
        <w:t>Randall-</w:t>
      </w:r>
      <w:proofErr w:type="spellStart"/>
      <w:r w:rsidRPr="0055653F">
        <w:rPr>
          <w:b/>
          <w:bCs/>
        </w:rPr>
        <w:t>Sellito</w:t>
      </w:r>
      <w:proofErr w:type="spellEnd"/>
      <w:r w:rsidRPr="0055653F">
        <w:rPr>
          <w:b/>
          <w:bCs/>
        </w:rPr>
        <w:t xml:space="preserve"> test</w:t>
      </w:r>
    </w:p>
    <w:p w14:paraId="69B757B1" w14:textId="77777777" w:rsidR="0055653F" w:rsidRPr="0055653F" w:rsidRDefault="0055653F" w:rsidP="0055653F">
      <w:r w:rsidRPr="0055653F">
        <w:t>Noxious mechanical thresholds were measured using the Randall-</w:t>
      </w:r>
      <w:proofErr w:type="spellStart"/>
      <w:r w:rsidRPr="0055653F">
        <w:t>Sellito</w:t>
      </w:r>
      <w:proofErr w:type="spellEnd"/>
      <w:r w:rsidRPr="0055653F">
        <w:t xml:space="preserve"> electronic algesimeter (IITC 2500 Digital Paw Pressure Meter, IITC Life Science, Woodland Hills, CA). Each animal received 5</w:t>
      </w:r>
      <w:r w:rsidRPr="0055653F">
        <w:rPr>
          <w:rFonts w:ascii="MS Gothic" w:eastAsia="MS Gothic" w:hAnsi="MS Gothic" w:cs="MS Gothic" w:hint="eastAsia"/>
        </w:rPr>
        <w:t> </w:t>
      </w:r>
      <w:r w:rsidRPr="0055653F">
        <w:t>min of handling before being immobilized in the holding chamber. A uniformly increasing pressure was applied to the tail via a blunt conical probe until a withdrawal response resulted. The mechanical stimulation was repeated 3 times with 15</w:t>
      </w:r>
      <w:r w:rsidRPr="0055653F">
        <w:rPr>
          <w:rFonts w:ascii="MS Gothic" w:eastAsia="MS Gothic" w:hAnsi="MS Gothic" w:cs="MS Gothic" w:hint="eastAsia"/>
        </w:rPr>
        <w:t> </w:t>
      </w:r>
      <w:r w:rsidRPr="0055653F">
        <w:t>min separation between consecutive tests. The cut-off value was set at 500</w:t>
      </w:r>
      <w:r w:rsidRPr="0055653F">
        <w:rPr>
          <w:rFonts w:ascii="MS Gothic" w:eastAsia="MS Gothic" w:hAnsi="MS Gothic" w:cs="MS Gothic" w:hint="eastAsia"/>
        </w:rPr>
        <w:t> </w:t>
      </w:r>
      <w:r w:rsidRPr="0055653F">
        <w:t>g to prevent tissue damage.</w:t>
      </w:r>
    </w:p>
    <w:p w14:paraId="39AC0FAC" w14:textId="77777777" w:rsidR="0055653F" w:rsidRPr="0055653F" w:rsidRDefault="0055653F" w:rsidP="0055653F">
      <w:pPr>
        <w:rPr>
          <w:b/>
          <w:bCs/>
        </w:rPr>
      </w:pPr>
      <w:r w:rsidRPr="0055653F">
        <w:rPr>
          <w:b/>
          <w:bCs/>
        </w:rPr>
        <w:t>Hargreaves test</w:t>
      </w:r>
    </w:p>
    <w:p w14:paraId="18E20251" w14:textId="77777777" w:rsidR="0055653F" w:rsidRPr="0055653F" w:rsidRDefault="0055653F" w:rsidP="0055653F">
      <w:r w:rsidRPr="0055653F">
        <w:t>To assess noxious heat threshold, the plantar paw surface was exposed to radiant heat using a Hargreaves apparatus (IITC, Woodland Hills, CA) and the paw withdrawal latency was measured. The heat stimulation was repeated 5 times with 15</w:t>
      </w:r>
      <w:r w:rsidRPr="0055653F">
        <w:rPr>
          <w:rFonts w:ascii="MS Gothic" w:eastAsia="MS Gothic" w:hAnsi="MS Gothic" w:cs="MS Gothic" w:hint="eastAsia"/>
        </w:rPr>
        <w:t> </w:t>
      </w:r>
      <w:r w:rsidRPr="0055653F">
        <w:t>min separation between consecutive tests. The cut-off value was set at 30</w:t>
      </w:r>
      <w:r w:rsidRPr="0055653F">
        <w:rPr>
          <w:rFonts w:ascii="MS Gothic" w:eastAsia="MS Gothic" w:hAnsi="MS Gothic" w:cs="MS Gothic" w:hint="eastAsia"/>
        </w:rPr>
        <w:t> </w:t>
      </w:r>
      <w:r w:rsidRPr="0055653F">
        <w:t>seconds to prevent tissue damage.</w:t>
      </w:r>
    </w:p>
    <w:p w14:paraId="317FA62F" w14:textId="77777777" w:rsidR="0055653F" w:rsidRPr="0055653F" w:rsidRDefault="0055653F" w:rsidP="0055653F">
      <w:pPr>
        <w:rPr>
          <w:b/>
          <w:bCs/>
        </w:rPr>
      </w:pPr>
      <w:r w:rsidRPr="0055653F">
        <w:rPr>
          <w:b/>
          <w:bCs/>
        </w:rPr>
        <w:t>Hot/Cold plate</w:t>
      </w:r>
    </w:p>
    <w:p w14:paraId="09171ADD" w14:textId="77777777" w:rsidR="0055653F" w:rsidRPr="0055653F" w:rsidRDefault="0055653F" w:rsidP="0055653F">
      <w:r w:rsidRPr="0055653F">
        <w:t>To assess thermal sensitivity, animals were placed on a metal plate with a constant temperature of 52</w:t>
      </w:r>
      <w:r w:rsidRPr="0055653F">
        <w:rPr>
          <w:rFonts w:ascii="MS Gothic" w:eastAsia="MS Gothic" w:hAnsi="MS Gothic" w:cs="MS Gothic" w:hint="eastAsia"/>
        </w:rPr>
        <w:t> </w:t>
      </w:r>
      <w:r w:rsidRPr="0055653F">
        <w:rPr>
          <w:rFonts w:ascii="等线" w:eastAsia="等线" w:hAnsi="等线" w:cs="等线" w:hint="eastAsia"/>
        </w:rPr>
        <w:t>°</w:t>
      </w:r>
      <w:r w:rsidRPr="0055653F">
        <w:t>C, 56</w:t>
      </w:r>
      <w:r w:rsidRPr="0055653F">
        <w:rPr>
          <w:rFonts w:ascii="MS Gothic" w:eastAsia="MS Gothic" w:hAnsi="MS Gothic" w:cs="MS Gothic" w:hint="eastAsia"/>
        </w:rPr>
        <w:t> </w:t>
      </w:r>
      <w:r w:rsidRPr="0055653F">
        <w:rPr>
          <w:rFonts w:ascii="等线" w:eastAsia="等线" w:hAnsi="等线" w:cs="等线" w:hint="eastAsia"/>
        </w:rPr>
        <w:t>°</w:t>
      </w:r>
      <w:r w:rsidRPr="0055653F">
        <w:t>C or 0.5</w:t>
      </w:r>
      <w:r w:rsidRPr="0055653F">
        <w:rPr>
          <w:rFonts w:ascii="MS Gothic" w:eastAsia="MS Gothic" w:hAnsi="MS Gothic" w:cs="MS Gothic" w:hint="eastAsia"/>
        </w:rPr>
        <w:t> </w:t>
      </w:r>
      <w:r w:rsidRPr="0055653F">
        <w:rPr>
          <w:rFonts w:ascii="等线" w:eastAsia="等线" w:hAnsi="等线" w:cs="等线" w:hint="eastAsia"/>
        </w:rPr>
        <w:t>°</w:t>
      </w:r>
      <w:r w:rsidRPr="0055653F">
        <w:t xml:space="preserve">C. The animal was removed from the plate immediately upon licking or flicking a </w:t>
      </w:r>
      <w:proofErr w:type="spellStart"/>
      <w:r w:rsidRPr="0055653F">
        <w:t>hindpaw</w:t>
      </w:r>
      <w:proofErr w:type="spellEnd"/>
      <w:r w:rsidRPr="0055653F">
        <w:t xml:space="preserve"> or if no response occurred within a predetermined cut-off time (30</w:t>
      </w:r>
      <w:r w:rsidRPr="0055653F">
        <w:rPr>
          <w:rFonts w:ascii="MS Gothic" w:eastAsia="MS Gothic" w:hAnsi="MS Gothic" w:cs="MS Gothic" w:hint="eastAsia"/>
        </w:rPr>
        <w:t> </w:t>
      </w:r>
      <w:r w:rsidRPr="0055653F">
        <w:t>s for hot plate and 120</w:t>
      </w:r>
      <w:r w:rsidRPr="0055653F">
        <w:rPr>
          <w:rFonts w:ascii="MS Gothic" w:eastAsia="MS Gothic" w:hAnsi="MS Gothic" w:cs="MS Gothic" w:hint="eastAsia"/>
        </w:rPr>
        <w:t> </w:t>
      </w:r>
      <w:r w:rsidRPr="0055653F">
        <w:t>s for cold plate).</w:t>
      </w:r>
    </w:p>
    <w:p w14:paraId="566E5631" w14:textId="77777777" w:rsidR="0055653F" w:rsidRPr="0055653F" w:rsidRDefault="0055653F" w:rsidP="0055653F">
      <w:pPr>
        <w:rPr>
          <w:b/>
          <w:bCs/>
        </w:rPr>
      </w:pPr>
      <w:r w:rsidRPr="0055653F">
        <w:rPr>
          <w:b/>
          <w:bCs/>
        </w:rPr>
        <w:t>Dynamic cold plate</w:t>
      </w:r>
    </w:p>
    <w:p w14:paraId="61ED81B2" w14:textId="77777777" w:rsidR="0055653F" w:rsidRPr="0055653F" w:rsidRDefault="0055653F" w:rsidP="0055653F">
      <w:r w:rsidRPr="0055653F">
        <w:t>To assess the noxious cold tolerance, animals were placed on the test arena with the surface temperature progressively cooled from 25</w:t>
      </w:r>
      <w:r w:rsidRPr="0055653F">
        <w:rPr>
          <w:rFonts w:ascii="MS Gothic" w:eastAsia="MS Gothic" w:hAnsi="MS Gothic" w:cs="MS Gothic" w:hint="eastAsia"/>
        </w:rPr>
        <w:t> </w:t>
      </w:r>
      <w:r w:rsidRPr="0055653F">
        <w:rPr>
          <w:rFonts w:ascii="等线" w:eastAsia="等线" w:hAnsi="等线" w:cs="等线" w:hint="eastAsia"/>
        </w:rPr>
        <w:t>°</w:t>
      </w:r>
      <w:r w:rsidRPr="0055653F">
        <w:t>C to 0.5</w:t>
      </w:r>
      <w:r w:rsidRPr="0055653F">
        <w:rPr>
          <w:rFonts w:ascii="MS Gothic" w:eastAsia="MS Gothic" w:hAnsi="MS Gothic" w:cs="MS Gothic" w:hint="eastAsia"/>
        </w:rPr>
        <w:t> </w:t>
      </w:r>
      <w:r w:rsidRPr="0055653F">
        <w:rPr>
          <w:rFonts w:ascii="等线" w:eastAsia="等线" w:hAnsi="等线" w:cs="等线" w:hint="eastAsia"/>
        </w:rPr>
        <w:t>°</w:t>
      </w:r>
      <w:r w:rsidRPr="0055653F">
        <w:t xml:space="preserve">C at a rate of </w:t>
      </w:r>
      <w:r w:rsidRPr="0055653F">
        <w:rPr>
          <w:rFonts w:ascii="微软雅黑" w:eastAsia="微软雅黑" w:hAnsi="微软雅黑" w:cs="微软雅黑" w:hint="eastAsia"/>
        </w:rPr>
        <w:t>−</w:t>
      </w:r>
      <w:r w:rsidRPr="0055653F">
        <w:t>5</w:t>
      </w:r>
      <w:r w:rsidRPr="0055653F">
        <w:rPr>
          <w:rFonts w:ascii="MS Gothic" w:eastAsia="MS Gothic" w:hAnsi="MS Gothic" w:cs="MS Gothic" w:hint="eastAsia"/>
        </w:rPr>
        <w:t> </w:t>
      </w:r>
      <w:r w:rsidRPr="0055653F">
        <w:rPr>
          <w:rFonts w:ascii="等线" w:eastAsia="等线" w:hAnsi="等线" w:cs="等线" w:hint="eastAsia"/>
        </w:rPr>
        <w:t>°</w:t>
      </w:r>
      <w:r w:rsidRPr="0055653F">
        <w:t xml:space="preserve">C/min and their </w:t>
      </w:r>
      <w:proofErr w:type="spellStart"/>
      <w:r w:rsidRPr="0055653F">
        <w:t>nocifensive</w:t>
      </w:r>
      <w:proofErr w:type="spellEnd"/>
      <w:r w:rsidRPr="0055653F">
        <w:t xml:space="preserve"> behaviors (jumping and paw lifting) were noted.</w:t>
      </w:r>
    </w:p>
    <w:p w14:paraId="6F957914" w14:textId="77777777" w:rsidR="0055653F" w:rsidRPr="0055653F" w:rsidRDefault="0055653F" w:rsidP="0055653F">
      <w:pPr>
        <w:rPr>
          <w:b/>
          <w:bCs/>
        </w:rPr>
      </w:pPr>
      <w:r w:rsidRPr="0055653F">
        <w:rPr>
          <w:b/>
          <w:bCs/>
        </w:rPr>
        <w:t>Acetone test</w:t>
      </w:r>
    </w:p>
    <w:p w14:paraId="5452F84A" w14:textId="77777777" w:rsidR="0055653F" w:rsidRPr="0055653F" w:rsidRDefault="0055653F" w:rsidP="0055653F">
      <w:r w:rsidRPr="0055653F">
        <w:t>50</w:t>
      </w:r>
      <w:r w:rsidRPr="0055653F">
        <w:rPr>
          <w:rFonts w:ascii="MS Gothic" w:eastAsia="MS Gothic" w:hAnsi="MS Gothic" w:cs="MS Gothic" w:hint="eastAsia"/>
        </w:rPr>
        <w:t> </w:t>
      </w:r>
      <w:r w:rsidRPr="0055653F">
        <w:rPr>
          <w:rFonts w:ascii="等线" w:eastAsia="等线" w:hAnsi="等线" w:cs="等线" w:hint="eastAsia"/>
        </w:rPr>
        <w:t>µ</w:t>
      </w:r>
      <w:r w:rsidRPr="0055653F">
        <w:t xml:space="preserve">l of acetone was sprayed onto the plantar surface of the </w:t>
      </w:r>
      <w:proofErr w:type="spellStart"/>
      <w:r w:rsidRPr="0055653F">
        <w:t>hindpaw</w:t>
      </w:r>
      <w:proofErr w:type="spellEnd"/>
      <w:r w:rsidRPr="0055653F">
        <w:t xml:space="preserve"> using a blunt rubber tube attached to a 1-ml syringe. Behavioral responses were recorded over 30</w:t>
      </w:r>
      <w:r w:rsidRPr="0055653F">
        <w:rPr>
          <w:rFonts w:ascii="MS Gothic" w:eastAsia="MS Gothic" w:hAnsi="MS Gothic" w:cs="MS Gothic" w:hint="eastAsia"/>
        </w:rPr>
        <w:t> </w:t>
      </w:r>
      <w:r w:rsidRPr="0055653F">
        <w:t>s for each of five acetone applications. The responses were graded to a three-point scale: 0</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 xml:space="preserve">a brisk lifting, licking, or flicking of the </w:t>
      </w:r>
      <w:proofErr w:type="spellStart"/>
      <w:r w:rsidRPr="0055653F">
        <w:t>hindpaw</w:t>
      </w:r>
      <w:proofErr w:type="spellEnd"/>
      <w:r w:rsidRPr="0055653F">
        <w:t>, which subsides immediately; 1</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 xml:space="preserve">lifting, licking, </w:t>
      </w:r>
      <w:r w:rsidRPr="0055653F">
        <w:lastRenderedPageBreak/>
        <w:t xml:space="preserve">and/or flicking of the </w:t>
      </w:r>
      <w:proofErr w:type="spellStart"/>
      <w:r w:rsidRPr="0055653F">
        <w:t>hindpaw</w:t>
      </w:r>
      <w:proofErr w:type="spellEnd"/>
      <w:r w:rsidRPr="0055653F">
        <w:t>, which continues beyond the initial application, but subsides within 5</w:t>
      </w:r>
      <w:r w:rsidRPr="0055653F">
        <w:rPr>
          <w:rFonts w:ascii="MS Gothic" w:eastAsia="MS Gothic" w:hAnsi="MS Gothic" w:cs="MS Gothic" w:hint="eastAsia"/>
        </w:rPr>
        <w:t> </w:t>
      </w:r>
      <w:r w:rsidRPr="0055653F">
        <w:t>s; 2</w:t>
      </w:r>
      <w:r w:rsidRPr="0055653F">
        <w:rPr>
          <w:rFonts w:ascii="MS Gothic" w:eastAsia="MS Gothic" w:hAnsi="MS Gothic" w:cs="MS Gothic" w:hint="eastAsia"/>
        </w:rPr>
        <w:t> </w:t>
      </w:r>
      <w:r w:rsidRPr="0055653F">
        <w:t>=</w:t>
      </w:r>
      <w:r w:rsidRPr="0055653F">
        <w:rPr>
          <w:rFonts w:ascii="MS Gothic" w:eastAsia="MS Gothic" w:hAnsi="MS Gothic" w:cs="MS Gothic" w:hint="eastAsia"/>
        </w:rPr>
        <w:t> </w:t>
      </w:r>
      <w:r w:rsidRPr="0055653F">
        <w:t>protracted, repeated lifting, licking, and/or flicking of the hindpaw</w:t>
      </w:r>
      <w:hyperlink r:id="rId29" w:anchor="ref-CR64" w:tooltip="Colburn, R. W. et al. Attenuated cold sensitivity in TRPM8 null mice. Neuron 54, 379–386, &#10;                    https://doi.org/10.1016/j.neuron.2007.04.017&#10;                    &#10;                   (2007)." w:history="1">
        <w:r w:rsidRPr="0055653F">
          <w:rPr>
            <w:rStyle w:val="a7"/>
          </w:rPr>
          <w:t>64</w:t>
        </w:r>
      </w:hyperlink>
      <w:r w:rsidRPr="0055653F">
        <w:t>.</w:t>
      </w:r>
    </w:p>
    <w:p w14:paraId="0E0C0AD3" w14:textId="77777777" w:rsidR="0055653F" w:rsidRPr="0055653F" w:rsidRDefault="0055653F" w:rsidP="0055653F">
      <w:pPr>
        <w:rPr>
          <w:b/>
          <w:bCs/>
        </w:rPr>
      </w:pPr>
      <w:r w:rsidRPr="0055653F">
        <w:rPr>
          <w:b/>
          <w:bCs/>
        </w:rPr>
        <w:t>Dry ice test</w:t>
      </w:r>
    </w:p>
    <w:p w14:paraId="7F07EF41" w14:textId="77777777" w:rsidR="0055653F" w:rsidRPr="0055653F" w:rsidRDefault="0055653F" w:rsidP="0055653F">
      <w:r w:rsidRPr="0055653F">
        <w:t>A dry ice pellet was made by compressing fine dry ice powder into a 3-ml syringe (with top cut off) and was then firmly pressed against the glass surface underneath the mouse hind paw until a withdrawal response resulted</w:t>
      </w:r>
      <w:hyperlink r:id="rId30" w:anchor="ref-CR65" w:tooltip="Brenner, D. S., Golden, J. P. &amp; Gereau, R. W. A Novel Behavioral Assay for Measuring Cold Sensation in Mice. PloS one 7, &#10;                    https://doi.org/10.1371/journal.pone.0039765&#10;                    &#10;                   (2012)." w:history="1">
        <w:r w:rsidRPr="0055653F">
          <w:rPr>
            <w:rStyle w:val="a7"/>
          </w:rPr>
          <w:t>65</w:t>
        </w:r>
      </w:hyperlink>
      <w:r w:rsidRPr="0055653F">
        <w:t>. The testing procedure was repeated 3 times with 15</w:t>
      </w:r>
      <w:r w:rsidRPr="0055653F">
        <w:rPr>
          <w:rFonts w:ascii="MS Gothic" w:eastAsia="MS Gothic" w:hAnsi="MS Gothic" w:cs="MS Gothic" w:hint="eastAsia"/>
        </w:rPr>
        <w:t> </w:t>
      </w:r>
      <w:r w:rsidRPr="0055653F">
        <w:t>min separation between consecutive tests.</w:t>
      </w:r>
    </w:p>
    <w:p w14:paraId="6E729010" w14:textId="77777777" w:rsidR="0055653F" w:rsidRPr="0055653F" w:rsidRDefault="0055653F" w:rsidP="0055653F">
      <w:pPr>
        <w:rPr>
          <w:b/>
          <w:bCs/>
        </w:rPr>
      </w:pPr>
      <w:r w:rsidRPr="0055653F">
        <w:rPr>
          <w:b/>
          <w:bCs/>
        </w:rPr>
        <w:t>Two-plate thermal preference test</w:t>
      </w:r>
    </w:p>
    <w:p w14:paraId="3C0DB4F7" w14:textId="77777777" w:rsidR="0055653F" w:rsidRPr="0055653F" w:rsidRDefault="0055653F" w:rsidP="0055653F">
      <w:r w:rsidRPr="0055653F">
        <w:t>The thermal preference apparatus consisted of two cold/hot plates (</w:t>
      </w:r>
      <w:proofErr w:type="spellStart"/>
      <w:r w:rsidRPr="0055653F">
        <w:t>Bioseb</w:t>
      </w:r>
      <w:proofErr w:type="spellEnd"/>
      <w:r w:rsidRPr="0055653F">
        <w:t xml:space="preserve">, </w:t>
      </w:r>
      <w:proofErr w:type="spellStart"/>
      <w:r w:rsidRPr="0055653F">
        <w:t>Chaville</w:t>
      </w:r>
      <w:proofErr w:type="spellEnd"/>
      <w:r w:rsidRPr="0055653F">
        <w:t>, France) placed side-by-side and enclosed in a plexiglass chamber. The reference plate was set to 33</w:t>
      </w:r>
      <w:r w:rsidRPr="0055653F">
        <w:rPr>
          <w:rFonts w:ascii="MS Gothic" w:eastAsia="MS Gothic" w:hAnsi="MS Gothic" w:cs="MS Gothic" w:hint="eastAsia"/>
        </w:rPr>
        <w:t> </w:t>
      </w:r>
      <w:r w:rsidRPr="0055653F">
        <w:rPr>
          <w:rFonts w:ascii="等线" w:eastAsia="等线" w:hAnsi="等线" w:cs="等线" w:hint="eastAsia"/>
        </w:rPr>
        <w:t>°</w:t>
      </w:r>
      <w:r w:rsidRPr="0055653F">
        <w:t>C, whereas the test plate was adjusted to the specific temperature of 20</w:t>
      </w:r>
      <w:r w:rsidRPr="0055653F">
        <w:rPr>
          <w:rFonts w:ascii="MS Gothic" w:eastAsia="MS Gothic" w:hAnsi="MS Gothic" w:cs="MS Gothic" w:hint="eastAsia"/>
        </w:rPr>
        <w:t> </w:t>
      </w:r>
      <w:r w:rsidRPr="0055653F">
        <w:rPr>
          <w:rFonts w:ascii="等线" w:eastAsia="等线" w:hAnsi="等线" w:cs="等线" w:hint="eastAsia"/>
        </w:rPr>
        <w:t>°</w:t>
      </w:r>
      <w:r w:rsidRPr="0055653F">
        <w:t>C, 28</w:t>
      </w:r>
      <w:r w:rsidRPr="0055653F">
        <w:rPr>
          <w:rFonts w:ascii="MS Gothic" w:eastAsia="MS Gothic" w:hAnsi="MS Gothic" w:cs="MS Gothic" w:hint="eastAsia"/>
        </w:rPr>
        <w:t> </w:t>
      </w:r>
      <w:r w:rsidRPr="0055653F">
        <w:rPr>
          <w:rFonts w:ascii="等线" w:eastAsia="等线" w:hAnsi="等线" w:cs="等线" w:hint="eastAsia"/>
        </w:rPr>
        <w:t>°</w:t>
      </w:r>
      <w:r w:rsidRPr="0055653F">
        <w:t>C, 38</w:t>
      </w:r>
      <w:r w:rsidRPr="0055653F">
        <w:rPr>
          <w:rFonts w:ascii="MS Gothic" w:eastAsia="MS Gothic" w:hAnsi="MS Gothic" w:cs="MS Gothic" w:hint="eastAsia"/>
        </w:rPr>
        <w:t> </w:t>
      </w:r>
      <w:r w:rsidRPr="0055653F">
        <w:rPr>
          <w:rFonts w:ascii="等线" w:eastAsia="等线" w:hAnsi="等线" w:cs="等线" w:hint="eastAsia"/>
        </w:rPr>
        <w:t>°</w:t>
      </w:r>
      <w:r w:rsidRPr="0055653F">
        <w:t>C or 46</w:t>
      </w:r>
      <w:r w:rsidRPr="0055653F">
        <w:rPr>
          <w:rFonts w:ascii="MS Gothic" w:eastAsia="MS Gothic" w:hAnsi="MS Gothic" w:cs="MS Gothic" w:hint="eastAsia"/>
        </w:rPr>
        <w:t> </w:t>
      </w:r>
      <w:r w:rsidRPr="0055653F">
        <w:rPr>
          <w:rFonts w:ascii="等线" w:eastAsia="等线" w:hAnsi="等线" w:cs="等线" w:hint="eastAsia"/>
        </w:rPr>
        <w:t>°</w:t>
      </w:r>
      <w:r w:rsidRPr="0055653F">
        <w:t>C. Animals were gently placed at the center of the apparatus and could move freely between plates. Movements were recorded for 600</w:t>
      </w:r>
      <w:r w:rsidRPr="0055653F">
        <w:rPr>
          <w:rFonts w:ascii="MS Gothic" w:eastAsia="MS Gothic" w:hAnsi="MS Gothic" w:cs="MS Gothic" w:hint="eastAsia"/>
        </w:rPr>
        <w:t> </w:t>
      </w:r>
      <w:r w:rsidRPr="0055653F">
        <w:t>s by an infrared camera mounted directly above the enclosed space. The percentage of the time spent on the test plate was recorded with an automated video tracking system.</w:t>
      </w:r>
    </w:p>
    <w:p w14:paraId="74E44B02" w14:textId="77777777" w:rsidR="0055653F" w:rsidRPr="0055653F" w:rsidRDefault="0055653F" w:rsidP="0055653F">
      <w:pPr>
        <w:rPr>
          <w:b/>
          <w:bCs/>
        </w:rPr>
      </w:pPr>
      <w:r w:rsidRPr="0055653F">
        <w:rPr>
          <w:b/>
          <w:bCs/>
        </w:rPr>
        <w:t>Formalin test</w:t>
      </w:r>
    </w:p>
    <w:p w14:paraId="751E7F6A" w14:textId="77777777" w:rsidR="0055653F" w:rsidRPr="0055653F" w:rsidRDefault="0055653F" w:rsidP="0055653F">
      <w:r w:rsidRPr="0055653F">
        <w:t>For induction of short-term inflammation, 10</w:t>
      </w:r>
      <w:r w:rsidRPr="0055653F">
        <w:rPr>
          <w:rFonts w:ascii="MS Gothic" w:eastAsia="MS Gothic" w:hAnsi="MS Gothic" w:cs="MS Gothic" w:hint="eastAsia"/>
        </w:rPr>
        <w:t> </w:t>
      </w:r>
      <w:r w:rsidRPr="0055653F">
        <w:rPr>
          <w:rFonts w:ascii="等线" w:eastAsia="等线" w:hAnsi="等线" w:cs="等线" w:hint="eastAsia"/>
        </w:rPr>
        <w:t>µ</w:t>
      </w:r>
      <w:r w:rsidRPr="0055653F">
        <w:t>l of 5% formalin solution was injected subcutaneously into the left hind paw (</w:t>
      </w:r>
      <w:proofErr w:type="spellStart"/>
      <w:r w:rsidRPr="0055653F">
        <w:t>intraplantar</w:t>
      </w:r>
      <w:proofErr w:type="spellEnd"/>
      <w:r w:rsidRPr="0055653F">
        <w:t xml:space="preserve">). The spontaneous </w:t>
      </w:r>
      <w:proofErr w:type="spellStart"/>
      <w:r w:rsidRPr="0055653F">
        <w:t>nocifensive</w:t>
      </w:r>
      <w:proofErr w:type="spellEnd"/>
      <w:r w:rsidRPr="0055653F">
        <w:t xml:space="preserve"> responses (licking, flicking, lifting the injected paw) were recorded for 50</w:t>
      </w:r>
      <w:r w:rsidRPr="0055653F">
        <w:rPr>
          <w:rFonts w:ascii="MS Gothic" w:eastAsia="MS Gothic" w:hAnsi="MS Gothic" w:cs="MS Gothic" w:hint="eastAsia"/>
        </w:rPr>
        <w:t> </w:t>
      </w:r>
      <w:r w:rsidRPr="0055653F">
        <w:t>min post injection.</w:t>
      </w:r>
    </w:p>
    <w:p w14:paraId="2E0AF0BB" w14:textId="77777777" w:rsidR="0055653F" w:rsidRPr="0055653F" w:rsidRDefault="0055653F" w:rsidP="0055653F">
      <w:pPr>
        <w:rPr>
          <w:b/>
          <w:bCs/>
        </w:rPr>
      </w:pPr>
      <w:r w:rsidRPr="0055653F">
        <w:rPr>
          <w:b/>
          <w:bCs/>
        </w:rPr>
        <w:t>CFA injections</w:t>
      </w:r>
    </w:p>
    <w:p w14:paraId="74C20D13" w14:textId="03C26835" w:rsidR="0055653F" w:rsidRDefault="0055653F" w:rsidP="0055653F">
      <w:r w:rsidRPr="0055653F">
        <w:t>Mice were anaesthetized by exposure to isoflurane (1–3%), administered by a calibrated vaporizer. For induction of long-term inflammation, 10</w:t>
      </w:r>
      <w:r w:rsidRPr="0055653F">
        <w:rPr>
          <w:rFonts w:ascii="MS Gothic" w:eastAsia="MS Gothic" w:hAnsi="MS Gothic" w:cs="MS Gothic" w:hint="eastAsia"/>
        </w:rPr>
        <w:t> </w:t>
      </w:r>
      <w:r w:rsidRPr="0055653F">
        <w:rPr>
          <w:rFonts w:ascii="等线" w:eastAsia="等线" w:hAnsi="等线" w:cs="等线" w:hint="eastAsia"/>
        </w:rPr>
        <w:t>µ</w:t>
      </w:r>
      <w:r w:rsidRPr="0055653F">
        <w:t>l of complete Freund</w:t>
      </w:r>
      <w:proofErr w:type="gramStart"/>
      <w:r w:rsidRPr="0055653F">
        <w:rPr>
          <w:rFonts w:ascii="等线" w:eastAsia="等线" w:hAnsi="等线" w:cs="等线" w:hint="eastAsia"/>
        </w:rPr>
        <w:t>’</w:t>
      </w:r>
      <w:proofErr w:type="gramEnd"/>
      <w:r w:rsidRPr="0055653F">
        <w:t>s adjuvant (CFA; Sigma, containing 1</w:t>
      </w:r>
      <w:r w:rsidRPr="0055653F">
        <w:rPr>
          <w:rFonts w:ascii="MS Gothic" w:eastAsia="MS Gothic" w:hAnsi="MS Gothic" w:cs="MS Gothic" w:hint="eastAsia"/>
        </w:rPr>
        <w:t> </w:t>
      </w:r>
      <w:r w:rsidRPr="0055653F">
        <w:t xml:space="preserve">mg/ml of </w:t>
      </w:r>
      <w:proofErr w:type="spellStart"/>
      <w:r w:rsidRPr="0055653F">
        <w:t>Mycobacteriom</w:t>
      </w:r>
      <w:proofErr w:type="spellEnd"/>
      <w:r w:rsidRPr="0055653F">
        <w:t xml:space="preserve"> tuberculosis) were injected into the right hind paw using a 10 </w:t>
      </w:r>
      <w:r w:rsidRPr="0055653F">
        <w:rPr>
          <w:rFonts w:ascii="等线" w:eastAsia="等线" w:hAnsi="等线" w:cs="等线" w:hint="eastAsia"/>
        </w:rPr>
        <w:t>µ</w:t>
      </w:r>
      <w:r w:rsidRPr="0055653F">
        <w:t>l-Hamilton syringe (Hamilton company, Reno, Nevada).</w:t>
      </w:r>
    </w:p>
    <w:p w14:paraId="5424732C" w14:textId="77777777" w:rsidR="0055653F" w:rsidRDefault="0055653F">
      <w:pPr>
        <w:widowControl/>
        <w:jc w:val="left"/>
      </w:pPr>
      <w:r>
        <w:rPr>
          <w:rFonts w:hint="eastAsia"/>
        </w:rPr>
        <w:br w:type="page"/>
      </w:r>
    </w:p>
    <w:p w14:paraId="01570E0B" w14:textId="4CA6ABFA" w:rsidR="0055653F" w:rsidRDefault="00A75605" w:rsidP="0055653F">
      <w:r>
        <w:rPr>
          <w:rFonts w:hint="eastAsia"/>
        </w:rPr>
        <w:lastRenderedPageBreak/>
        <w:t>4.</w:t>
      </w:r>
      <w:hyperlink r:id="rId31" w:history="1">
        <w:r w:rsidR="0055653F" w:rsidRPr="0055653F">
          <w:rPr>
            <w:rStyle w:val="a7"/>
          </w:rPr>
          <w:t>Schwann cells promote post-traumatic nerve inflammation and neuropathic pain through MHC class II | Scientific Reports</w:t>
        </w:r>
      </w:hyperlink>
    </w:p>
    <w:p w14:paraId="68063A16" w14:textId="77777777" w:rsidR="0055653F" w:rsidRDefault="0055653F" w:rsidP="0055653F"/>
    <w:p w14:paraId="5EA35C68" w14:textId="77777777" w:rsidR="0055653F" w:rsidRPr="0055653F" w:rsidRDefault="0055653F" w:rsidP="0055653F">
      <w:pPr>
        <w:rPr>
          <w:b/>
          <w:bCs/>
        </w:rPr>
      </w:pPr>
      <w:r w:rsidRPr="0055653F">
        <w:rPr>
          <w:rFonts w:hint="eastAsia"/>
          <w:b/>
          <w:bCs/>
        </w:rPr>
        <w:t>Schwann cells promote post-traumatic nerve inflammation and neuropathic pain through MHC class II</w:t>
      </w:r>
    </w:p>
    <w:p w14:paraId="66AA1996" w14:textId="3C1CDF5E" w:rsidR="0055653F" w:rsidRPr="0055653F" w:rsidRDefault="0055653F" w:rsidP="0055653F">
      <w:proofErr w:type="spellStart"/>
      <w:r>
        <w:rPr>
          <w:rFonts w:hint="eastAsia"/>
        </w:rPr>
        <w:t>Maike</w:t>
      </w:r>
      <w:proofErr w:type="spellEnd"/>
      <w:r>
        <w:rPr>
          <w:rFonts w:hint="eastAsia"/>
        </w:rPr>
        <w:t xml:space="preserve"> </w:t>
      </w:r>
      <w:proofErr w:type="spellStart"/>
      <w:r>
        <w:rPr>
          <w:rFonts w:hint="eastAsia"/>
        </w:rPr>
        <w:t>Hartlehnert</w:t>
      </w:r>
      <w:proofErr w:type="spellEnd"/>
      <w:r>
        <w:rPr>
          <w:rFonts w:hint="eastAsia"/>
        </w:rPr>
        <w:t xml:space="preserve">, Angelika </w:t>
      </w:r>
      <w:proofErr w:type="spellStart"/>
      <w:r>
        <w:rPr>
          <w:rFonts w:hint="eastAsia"/>
        </w:rPr>
        <w:t>Derksen</w:t>
      </w:r>
      <w:proofErr w:type="spellEnd"/>
      <w:r>
        <w:rPr>
          <w:rFonts w:hint="eastAsia"/>
        </w:rPr>
        <w:t xml:space="preserve">, Tim </w:t>
      </w:r>
      <w:proofErr w:type="spellStart"/>
      <w:r>
        <w:rPr>
          <w:rFonts w:hint="eastAsia"/>
        </w:rPr>
        <w:t>Hagenacker</w:t>
      </w:r>
      <w:proofErr w:type="spellEnd"/>
      <w:r>
        <w:rPr>
          <w:rFonts w:hint="eastAsia"/>
        </w:rPr>
        <w:t xml:space="preserve">, David </w:t>
      </w:r>
      <w:proofErr w:type="spellStart"/>
      <w:r>
        <w:rPr>
          <w:rFonts w:hint="eastAsia"/>
        </w:rPr>
        <w:t>Kindermann</w:t>
      </w:r>
      <w:proofErr w:type="spellEnd"/>
      <w:r>
        <w:rPr>
          <w:rFonts w:hint="eastAsia"/>
        </w:rPr>
        <w:t xml:space="preserve">, Maria Schäfers, Mathias Pawlak, Bernd C. </w:t>
      </w:r>
      <w:proofErr w:type="spellStart"/>
      <w:r>
        <w:rPr>
          <w:rFonts w:hint="eastAsia"/>
        </w:rPr>
        <w:t>Kieseier</w:t>
      </w:r>
      <w:proofErr w:type="spellEnd"/>
      <w:r>
        <w:rPr>
          <w:rFonts w:hint="eastAsia"/>
        </w:rPr>
        <w:t xml:space="preserve"> &amp; Gerd Meyer </w:t>
      </w:r>
      <w:proofErr w:type="spellStart"/>
      <w:r>
        <w:rPr>
          <w:rFonts w:hint="eastAsia"/>
        </w:rPr>
        <w:t>zu</w:t>
      </w:r>
      <w:proofErr w:type="spellEnd"/>
      <w:r>
        <w:rPr>
          <w:rFonts w:hint="eastAsia"/>
        </w:rPr>
        <w:t xml:space="preserve"> </w:t>
      </w:r>
      <w:proofErr w:type="spellStart"/>
      <w:r>
        <w:rPr>
          <w:rFonts w:hint="eastAsia"/>
        </w:rPr>
        <w:t>Horste</w:t>
      </w:r>
      <w:proofErr w:type="spellEnd"/>
    </w:p>
    <w:p w14:paraId="30B81527" w14:textId="0432B04F" w:rsidR="0055653F" w:rsidRDefault="0055653F" w:rsidP="0055653F">
      <w:r>
        <w:rPr>
          <w:rFonts w:hint="eastAsia"/>
          <w:noProof/>
        </w:rPr>
        <w:drawing>
          <wp:inline distT="0" distB="0" distL="0" distR="0" wp14:anchorId="59D87A86" wp14:editId="2187752A">
            <wp:extent cx="4911502" cy="5707380"/>
            <wp:effectExtent l="0" t="0" r="3810" b="7620"/>
            <wp:docPr id="2071996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22512" cy="5720174"/>
                    </a:xfrm>
                    <a:prstGeom prst="rect">
                      <a:avLst/>
                    </a:prstGeom>
                    <a:noFill/>
                  </pic:spPr>
                </pic:pic>
              </a:graphicData>
            </a:graphic>
          </wp:inline>
        </w:drawing>
      </w:r>
    </w:p>
    <w:p w14:paraId="62E0DC92" w14:textId="56ACC85E" w:rsidR="0055653F" w:rsidRDefault="0055653F" w:rsidP="0055653F">
      <w:r w:rsidRPr="0055653F">
        <w:t>Schwann cell–specific MHC class II deficiency reduces post-traumatic thermal hyperalgesia and mechanical allodynia in female mice. (</w:t>
      </w:r>
      <w:r w:rsidRPr="0055653F">
        <w:rPr>
          <w:b/>
          <w:bCs/>
        </w:rPr>
        <w:t>a</w:t>
      </w:r>
      <w:r w:rsidRPr="0055653F">
        <w:t>) Thermal hyperalgesia was tested 7 days after chronic constriction injury (CCI) by placing the mouse</w:t>
      </w:r>
      <w:proofErr w:type="gramStart"/>
      <w:r w:rsidRPr="0055653F">
        <w:t>’</w:t>
      </w:r>
      <w:proofErr w:type="gramEnd"/>
      <w:r w:rsidRPr="0055653F">
        <w:t>s hind paw from the lesioned side onto a hot plate (temperature 40</w:t>
      </w:r>
      <w:r w:rsidRPr="0055653F">
        <w:rPr>
          <w:rFonts w:ascii="MS Gothic" w:eastAsia="MS Gothic" w:hAnsi="MS Gothic" w:cs="MS Gothic" w:hint="eastAsia"/>
        </w:rPr>
        <w:t> </w:t>
      </w:r>
      <w:r w:rsidRPr="0055653F">
        <w:rPr>
          <w:rFonts w:ascii="等线" w:eastAsia="等线" w:hAnsi="等线" w:cs="等线" w:hint="eastAsia"/>
        </w:rPr>
        <w:t>°</w:t>
      </w:r>
      <w:r w:rsidRPr="0055653F">
        <w:t>C) and recording the latency (in seconds) until paw withdrawal (see methods). The latency, averaged between three technical repeats, is depicted and every symbol indicates one mouse. Note that</w:t>
      </w:r>
      <w:r w:rsidRPr="0055653F">
        <w:rPr>
          <w:rFonts w:ascii="等线" w:eastAsia="等线" w:hAnsi="等线" w:cs="等线" w:hint="eastAsia"/>
        </w:rPr>
        <w:t> </w:t>
      </w:r>
      <w:r w:rsidRPr="0055653F">
        <w:rPr>
          <w:i/>
          <w:iCs/>
        </w:rPr>
        <w:t>increased</w:t>
      </w:r>
      <w:r w:rsidRPr="0055653F">
        <w:t> latency reflects </w:t>
      </w:r>
      <w:r w:rsidRPr="0055653F">
        <w:rPr>
          <w:i/>
          <w:iCs/>
        </w:rPr>
        <w:t>decreased</w:t>
      </w:r>
      <w:r w:rsidRPr="0055653F">
        <w:t> hyperalgesia. (</w:t>
      </w:r>
      <w:r w:rsidRPr="0055653F">
        <w:rPr>
          <w:b/>
          <w:bCs/>
        </w:rPr>
        <w:t>b</w:t>
      </w:r>
      <w:r w:rsidRPr="0055653F">
        <w:t>) The post-CCI latency was divided by the average pre-CCI latency in every mouse and is expressed as a proportion of pre-CCI latency. (</w:t>
      </w:r>
      <w:r w:rsidRPr="0055653F">
        <w:rPr>
          <w:b/>
          <w:bCs/>
        </w:rPr>
        <w:t>c</w:t>
      </w:r>
      <w:r w:rsidRPr="0055653F">
        <w:t xml:space="preserve">) Mechanical allodynia was measured with </w:t>
      </w:r>
      <w:r w:rsidRPr="0055653F">
        <w:lastRenderedPageBreak/>
        <w:t>von Frey filaments 7 days after CCI by pressing von Frey filaments of increasing strength against the plantar surface of the hind paw on the lesioned side and recording the thickness of filaments that induced paw withdrawal reaction. The corresponding force (in grams) was calculated (see methods). Note that </w:t>
      </w:r>
      <w:r w:rsidRPr="0055653F">
        <w:rPr>
          <w:i/>
          <w:iCs/>
        </w:rPr>
        <w:t>increased</w:t>
      </w:r>
      <w:r w:rsidRPr="0055653F">
        <w:t> threshold reflects </w:t>
      </w:r>
      <w:r w:rsidRPr="0055653F">
        <w:rPr>
          <w:i/>
          <w:iCs/>
        </w:rPr>
        <w:t>decreased</w:t>
      </w:r>
      <w:r w:rsidRPr="0055653F">
        <w:t> allodynia. (</w:t>
      </w:r>
      <w:r w:rsidRPr="0055653F">
        <w:rPr>
          <w:b/>
          <w:bCs/>
        </w:rPr>
        <w:t>d</w:t>
      </w:r>
      <w:r w:rsidRPr="0055653F">
        <w:t>) The post-CCI force was divided by the average pre-CCI force and is expressed as a proportion of pre-CCI force. Data were compared using unpaired </w:t>
      </w:r>
      <w:r w:rsidRPr="0055653F">
        <w:rPr>
          <w:i/>
          <w:iCs/>
        </w:rPr>
        <w:t>t</w:t>
      </w:r>
      <w:r w:rsidRPr="0055653F">
        <w:t>-test with Welch’s correction. *</w:t>
      </w:r>
      <w:r w:rsidRPr="0055653F">
        <w:rPr>
          <w:i/>
          <w:iCs/>
        </w:rPr>
        <w:t>p</w:t>
      </w:r>
      <w:r w:rsidRPr="0055653F">
        <w:t>-value</w:t>
      </w:r>
      <w:r w:rsidRPr="0055653F">
        <w:rPr>
          <w:rFonts w:ascii="MS Gothic" w:eastAsia="MS Gothic" w:hAnsi="MS Gothic" w:cs="MS Gothic" w:hint="eastAsia"/>
        </w:rPr>
        <w:t> </w:t>
      </w:r>
      <w:r w:rsidRPr="0055653F">
        <w:t>&lt;</w:t>
      </w:r>
      <w:r w:rsidRPr="0055653F">
        <w:rPr>
          <w:rFonts w:ascii="MS Gothic" w:eastAsia="MS Gothic" w:hAnsi="MS Gothic" w:cs="MS Gothic" w:hint="eastAsia"/>
        </w:rPr>
        <w:t> </w:t>
      </w:r>
      <w:r w:rsidRPr="0055653F">
        <w:t>0.05, **</w:t>
      </w:r>
      <w:r w:rsidRPr="0055653F">
        <w:rPr>
          <w:i/>
          <w:iCs/>
        </w:rPr>
        <w:t>p</w:t>
      </w:r>
      <w:r w:rsidRPr="0055653F">
        <w:t>-value</w:t>
      </w:r>
      <w:r w:rsidRPr="0055653F">
        <w:rPr>
          <w:rFonts w:ascii="MS Gothic" w:eastAsia="MS Gothic" w:hAnsi="MS Gothic" w:cs="MS Gothic" w:hint="eastAsia"/>
        </w:rPr>
        <w:t> </w:t>
      </w:r>
      <w:r w:rsidRPr="0055653F">
        <w:t>&lt;</w:t>
      </w:r>
      <w:r w:rsidRPr="0055653F">
        <w:rPr>
          <w:rFonts w:ascii="MS Gothic" w:eastAsia="MS Gothic" w:hAnsi="MS Gothic" w:cs="MS Gothic" w:hint="eastAsia"/>
        </w:rPr>
        <w:t> </w:t>
      </w:r>
      <w:r w:rsidRPr="0055653F">
        <w:t xml:space="preserve">0.01. Pooled data from three (hot plate) and two (von Frey filaments) independent experiments, respectively, with in total </w:t>
      </w:r>
      <w:r w:rsidRPr="0055653F">
        <w:rPr>
          <w:rFonts w:ascii="等线" w:eastAsia="等线" w:hAnsi="等线" w:cs="等线" w:hint="eastAsia"/>
        </w:rPr>
        <w:t>≥</w:t>
      </w:r>
      <w:r w:rsidRPr="0055653F">
        <w:t xml:space="preserve">8 female mice per group (wildtype </w:t>
      </w:r>
      <w:proofErr w:type="spellStart"/>
      <w:r w:rsidRPr="0055653F">
        <w:t>IAb</w:t>
      </w:r>
      <w:r w:rsidRPr="0055653F">
        <w:rPr>
          <w:vertAlign w:val="superscript"/>
        </w:rPr>
        <w:t>fl</w:t>
      </w:r>
      <w:proofErr w:type="spellEnd"/>
      <w:r w:rsidRPr="0055653F">
        <w:rPr>
          <w:vertAlign w:val="superscript"/>
        </w:rPr>
        <w:t>/</w:t>
      </w:r>
      <w:proofErr w:type="spellStart"/>
      <w:r w:rsidRPr="0055653F">
        <w:rPr>
          <w:vertAlign w:val="superscript"/>
        </w:rPr>
        <w:t>fl</w:t>
      </w:r>
      <w:proofErr w:type="spellEnd"/>
      <w:r w:rsidRPr="0055653F">
        <w:t> vs. P0</w:t>
      </w:r>
      <w:r w:rsidRPr="0055653F">
        <w:rPr>
          <w:vertAlign w:val="superscript"/>
        </w:rPr>
        <w:t>Cre</w:t>
      </w:r>
      <w:r w:rsidRPr="0055653F">
        <w:t>IAb</w:t>
      </w:r>
      <w:r w:rsidRPr="0055653F">
        <w:rPr>
          <w:vertAlign w:val="superscript"/>
        </w:rPr>
        <w:t>fl/</w:t>
      </w:r>
      <w:proofErr w:type="spellStart"/>
      <w:r w:rsidRPr="0055653F">
        <w:rPr>
          <w:vertAlign w:val="superscript"/>
        </w:rPr>
        <w:t>fl</w:t>
      </w:r>
      <w:proofErr w:type="spellEnd"/>
      <w:r w:rsidRPr="0055653F">
        <w:t> mice), are depicted.</w:t>
      </w:r>
    </w:p>
    <w:p w14:paraId="08805D56" w14:textId="77777777" w:rsidR="0055653F" w:rsidRDefault="0055653F" w:rsidP="0055653F"/>
    <w:p w14:paraId="14EA7EDB" w14:textId="77777777" w:rsidR="0055653F" w:rsidRDefault="0055653F" w:rsidP="0055653F"/>
    <w:p w14:paraId="41236D4C" w14:textId="77777777" w:rsidR="00492FFF" w:rsidRPr="00492FFF" w:rsidRDefault="00492FFF" w:rsidP="00492FFF">
      <w:r w:rsidRPr="00492FFF">
        <w:t>Hot plate experiments for thermal hyperalgesia testing</w:t>
      </w:r>
    </w:p>
    <w:p w14:paraId="0724CC69" w14:textId="77777777" w:rsidR="00492FFF" w:rsidRPr="00492FFF" w:rsidRDefault="00492FFF" w:rsidP="00492FFF">
      <w:r w:rsidRPr="00492FFF">
        <w:t>Hot plate experiments were performed as previously described</w:t>
      </w:r>
      <w:hyperlink r:id="rId33" w:anchor="ref-CR43" w:tooltip="Baker, A. K., Hoffmann, V. L. &amp; Meert, T. F. Dextromethorphan and ketamine potentiate the antinociceptive effects of mu- but not delta- or kappa-opioid agonists in a mouse model of acute pain. Pharmacol Biochem Behav &#10;                           74, 73–86 (2002" w:history="1">
        <w:r w:rsidRPr="00492FFF">
          <w:rPr>
            <w:rStyle w:val="a7"/>
          </w:rPr>
          <w:t>43</w:t>
        </w:r>
      </w:hyperlink>
      <w:r w:rsidRPr="00492FFF">
        <w:t> with minor modifications. Briefly, a small metal hot plate with a diameter of 1</w:t>
      </w:r>
      <w:r w:rsidRPr="00492FFF">
        <w:rPr>
          <w:rFonts w:ascii="MS Gothic" w:eastAsia="MS Gothic" w:hAnsi="MS Gothic" w:cs="MS Gothic" w:hint="eastAsia"/>
        </w:rPr>
        <w:t> </w:t>
      </w:r>
      <w:r w:rsidRPr="00492FFF">
        <w:t>cm (</w:t>
      </w:r>
      <w:r w:rsidRPr="00492FFF">
        <w:rPr>
          <w:rFonts w:ascii="等线" w:eastAsia="等线" w:hAnsi="等线" w:cs="等线" w:hint="eastAsia"/>
        </w:rPr>
        <w:t>“</w:t>
      </w:r>
      <w:r w:rsidRPr="00492FFF">
        <w:t>7341 Plantar Test</w:t>
      </w:r>
      <w:r w:rsidRPr="00492FFF">
        <w:rPr>
          <w:rFonts w:ascii="等线" w:eastAsia="等线" w:hAnsi="等线" w:cs="等线" w:hint="eastAsia"/>
        </w:rPr>
        <w:t>”</w:t>
      </w:r>
      <w:r w:rsidRPr="00492FFF">
        <w:t>; Ugo Basile) was heated to a constant temperature of 40</w:t>
      </w:r>
      <w:r w:rsidRPr="00492FFF">
        <w:rPr>
          <w:rFonts w:ascii="MS Gothic" w:eastAsia="MS Gothic" w:hAnsi="MS Gothic" w:cs="MS Gothic" w:hint="eastAsia"/>
        </w:rPr>
        <w:t> </w:t>
      </w:r>
      <w:r w:rsidRPr="00492FFF">
        <w:rPr>
          <w:rFonts w:ascii="等线" w:eastAsia="等线" w:hAnsi="等线" w:cs="等线" w:hint="eastAsia"/>
        </w:rPr>
        <w:t>°</w:t>
      </w:r>
      <w:r w:rsidRPr="00492FFF">
        <w:t>C and was then lightly pressed onto the plantar surface of the hind paw of each experimental mouse. The time until paw withdrawal was recorded and defined as the thermal threshold (unit: seconds) and the experiment was repeated with the other hind paw. Both hind paws were measured three times per session with a recovery time of five minutes between measurements. Mean values of the technical replicates per session were calculated. All testing was performed by the same blinded investigator.</w:t>
      </w:r>
    </w:p>
    <w:p w14:paraId="29C29CC8" w14:textId="77777777" w:rsidR="00492FFF" w:rsidRPr="00492FFF" w:rsidRDefault="00492FFF" w:rsidP="00492FFF">
      <w:r w:rsidRPr="00492FFF">
        <w:t>Von Frey filaments for mechanical allodynia testing</w:t>
      </w:r>
    </w:p>
    <w:p w14:paraId="2A0566D2" w14:textId="77777777" w:rsidR="00492FFF" w:rsidRPr="00492FFF" w:rsidRDefault="00492FFF" w:rsidP="00492FFF">
      <w:r w:rsidRPr="00492FFF">
        <w:t>Mechanical allodynia was tested according to a previously described method</w:t>
      </w:r>
      <w:hyperlink r:id="rId34" w:anchor="ref-CR44" w:tooltip="Hwang, B. Y., Kim, E. S., Kim, C. H., Kwon, J. Y. &amp; Kim, H. K. Gender differences in paclitaxel-induced neuropathic pain behavior and analgesic response in rats. Korean J Anesthesiol &#10;                           62, 66–72, &#10;                    https://doi.org/1" w:history="1">
        <w:r w:rsidRPr="00492FFF">
          <w:rPr>
            <w:rStyle w:val="a7"/>
          </w:rPr>
          <w:t>44</w:t>
        </w:r>
      </w:hyperlink>
      <w:r w:rsidRPr="00492FFF">
        <w:t> with minor modifications. Briefly, mice were placed on a metal mesh and von Frey filaments (Ugo Basile) were pushed against the plantar surface of the hind paw for one second. Six different filaments with increasing force were used. The filament that triggered the mouse to move its hind paw was defined as the mechanical threshold. The categories and corresponding weights of the von Frey filaments were as follows: 3.61 von Frey</w:t>
      </w:r>
      <w:r w:rsidRPr="00492FFF">
        <w:rPr>
          <w:rFonts w:ascii="MS Gothic" w:eastAsia="MS Gothic" w:hAnsi="MS Gothic" w:cs="MS Gothic" w:hint="eastAsia"/>
        </w:rPr>
        <w:t> </w:t>
      </w:r>
      <w:r w:rsidRPr="00492FFF">
        <w:rPr>
          <w:rFonts w:ascii="等线" w:eastAsia="等线" w:hAnsi="等线" w:cs="等线" w:hint="eastAsia"/>
        </w:rPr>
        <w:t>≈</w:t>
      </w:r>
      <w:r w:rsidRPr="00492FFF">
        <w:rPr>
          <w:rFonts w:ascii="MS Gothic" w:eastAsia="MS Gothic" w:hAnsi="MS Gothic" w:cs="MS Gothic" w:hint="eastAsia"/>
        </w:rPr>
        <w:t> </w:t>
      </w:r>
      <w:r w:rsidRPr="00492FFF">
        <w:t>0.4</w:t>
      </w:r>
      <w:r w:rsidRPr="00492FFF">
        <w:rPr>
          <w:rFonts w:ascii="MS Gothic" w:eastAsia="MS Gothic" w:hAnsi="MS Gothic" w:cs="MS Gothic" w:hint="eastAsia"/>
        </w:rPr>
        <w:t> </w:t>
      </w:r>
      <w:r w:rsidRPr="00492FFF">
        <w:t>g; 3.84 von Frey</w:t>
      </w:r>
      <w:r w:rsidRPr="00492FFF">
        <w:rPr>
          <w:rFonts w:ascii="MS Gothic" w:eastAsia="MS Gothic" w:hAnsi="MS Gothic" w:cs="MS Gothic" w:hint="eastAsia"/>
        </w:rPr>
        <w:t> </w:t>
      </w:r>
      <w:r w:rsidRPr="00492FFF">
        <w:rPr>
          <w:rFonts w:ascii="等线" w:eastAsia="等线" w:hAnsi="等线" w:cs="等线" w:hint="eastAsia"/>
        </w:rPr>
        <w:t>≈</w:t>
      </w:r>
      <w:r w:rsidRPr="00492FFF">
        <w:rPr>
          <w:rFonts w:ascii="MS Gothic" w:eastAsia="MS Gothic" w:hAnsi="MS Gothic" w:cs="MS Gothic" w:hint="eastAsia"/>
        </w:rPr>
        <w:t> </w:t>
      </w:r>
      <w:r w:rsidRPr="00492FFF">
        <w:t>0.6</w:t>
      </w:r>
      <w:r w:rsidRPr="00492FFF">
        <w:rPr>
          <w:rFonts w:ascii="MS Gothic" w:eastAsia="MS Gothic" w:hAnsi="MS Gothic" w:cs="MS Gothic" w:hint="eastAsia"/>
        </w:rPr>
        <w:t> </w:t>
      </w:r>
      <w:r w:rsidRPr="00492FFF">
        <w:t>g; 4.08 von Frey</w:t>
      </w:r>
      <w:r w:rsidRPr="00492FFF">
        <w:rPr>
          <w:rFonts w:ascii="MS Gothic" w:eastAsia="MS Gothic" w:hAnsi="MS Gothic" w:cs="MS Gothic" w:hint="eastAsia"/>
        </w:rPr>
        <w:t> </w:t>
      </w:r>
      <w:r w:rsidRPr="00492FFF">
        <w:rPr>
          <w:rFonts w:ascii="等线" w:eastAsia="等线" w:hAnsi="等线" w:cs="等线" w:hint="eastAsia"/>
        </w:rPr>
        <w:t>≈</w:t>
      </w:r>
      <w:r w:rsidRPr="00492FFF">
        <w:rPr>
          <w:rFonts w:ascii="MS Gothic" w:eastAsia="MS Gothic" w:hAnsi="MS Gothic" w:cs="MS Gothic" w:hint="eastAsia"/>
        </w:rPr>
        <w:t> </w:t>
      </w:r>
      <w:r w:rsidRPr="00492FFF">
        <w:t>1</w:t>
      </w:r>
      <w:r w:rsidRPr="00492FFF">
        <w:rPr>
          <w:rFonts w:ascii="MS Gothic" w:eastAsia="MS Gothic" w:hAnsi="MS Gothic" w:cs="MS Gothic" w:hint="eastAsia"/>
        </w:rPr>
        <w:t> </w:t>
      </w:r>
      <w:r w:rsidRPr="00492FFF">
        <w:t>g; 4.17 von Frey</w:t>
      </w:r>
      <w:r w:rsidRPr="00492FFF">
        <w:rPr>
          <w:rFonts w:ascii="MS Gothic" w:eastAsia="MS Gothic" w:hAnsi="MS Gothic" w:cs="MS Gothic" w:hint="eastAsia"/>
        </w:rPr>
        <w:t> </w:t>
      </w:r>
      <w:r w:rsidRPr="00492FFF">
        <w:rPr>
          <w:rFonts w:ascii="等线" w:eastAsia="等线" w:hAnsi="等线" w:cs="等线" w:hint="eastAsia"/>
        </w:rPr>
        <w:t>≈</w:t>
      </w:r>
      <w:r w:rsidRPr="00492FFF">
        <w:rPr>
          <w:rFonts w:ascii="MS Gothic" w:eastAsia="MS Gothic" w:hAnsi="MS Gothic" w:cs="MS Gothic" w:hint="eastAsia"/>
        </w:rPr>
        <w:t> </w:t>
      </w:r>
      <w:r w:rsidRPr="00492FFF">
        <w:t>1.4</w:t>
      </w:r>
      <w:r w:rsidRPr="00492FFF">
        <w:rPr>
          <w:rFonts w:ascii="MS Gothic" w:eastAsia="MS Gothic" w:hAnsi="MS Gothic" w:cs="MS Gothic" w:hint="eastAsia"/>
        </w:rPr>
        <w:t> </w:t>
      </w:r>
      <w:r w:rsidRPr="00492FFF">
        <w:t>g; 4.31 von Frey</w:t>
      </w:r>
      <w:r w:rsidRPr="00492FFF">
        <w:rPr>
          <w:rFonts w:ascii="MS Gothic" w:eastAsia="MS Gothic" w:hAnsi="MS Gothic" w:cs="MS Gothic" w:hint="eastAsia"/>
        </w:rPr>
        <w:t> </w:t>
      </w:r>
      <w:r w:rsidRPr="00492FFF">
        <w:rPr>
          <w:rFonts w:ascii="等线" w:eastAsia="等线" w:hAnsi="等线" w:cs="等线" w:hint="eastAsia"/>
        </w:rPr>
        <w:t>≈</w:t>
      </w:r>
      <w:r w:rsidRPr="00492FFF">
        <w:rPr>
          <w:rFonts w:ascii="MS Gothic" w:eastAsia="MS Gothic" w:hAnsi="MS Gothic" w:cs="MS Gothic" w:hint="eastAsia"/>
        </w:rPr>
        <w:t> </w:t>
      </w:r>
      <w:r w:rsidRPr="00492FFF">
        <w:t>2</w:t>
      </w:r>
      <w:r w:rsidRPr="00492FFF">
        <w:rPr>
          <w:rFonts w:ascii="MS Gothic" w:eastAsia="MS Gothic" w:hAnsi="MS Gothic" w:cs="MS Gothic" w:hint="eastAsia"/>
        </w:rPr>
        <w:t> </w:t>
      </w:r>
      <w:r w:rsidRPr="00492FFF">
        <w:t>g; 4.56 von Frey</w:t>
      </w:r>
      <w:r w:rsidRPr="00492FFF">
        <w:rPr>
          <w:rFonts w:ascii="MS Gothic" w:eastAsia="MS Gothic" w:hAnsi="MS Gothic" w:cs="MS Gothic" w:hint="eastAsia"/>
        </w:rPr>
        <w:t> </w:t>
      </w:r>
      <w:r w:rsidRPr="00492FFF">
        <w:rPr>
          <w:rFonts w:ascii="等线" w:eastAsia="等线" w:hAnsi="等线" w:cs="等线" w:hint="eastAsia"/>
        </w:rPr>
        <w:t>≈</w:t>
      </w:r>
      <w:r w:rsidRPr="00492FFF">
        <w:rPr>
          <w:rFonts w:ascii="MS Gothic" w:eastAsia="MS Gothic" w:hAnsi="MS Gothic" w:cs="MS Gothic" w:hint="eastAsia"/>
        </w:rPr>
        <w:t> </w:t>
      </w:r>
      <w:r w:rsidRPr="00492FFF">
        <w:t>4</w:t>
      </w:r>
      <w:r w:rsidRPr="00492FFF">
        <w:rPr>
          <w:rFonts w:ascii="MS Gothic" w:eastAsia="MS Gothic" w:hAnsi="MS Gothic" w:cs="MS Gothic" w:hint="eastAsia"/>
        </w:rPr>
        <w:t> </w:t>
      </w:r>
      <w:r w:rsidRPr="00492FFF">
        <w:t>g. If the 4.56 von Frey filament did not cause any movement, a 4.74 von Frey (</w:t>
      </w:r>
      <w:r w:rsidRPr="00492FFF">
        <w:rPr>
          <w:rFonts w:ascii="等线" w:eastAsia="等线" w:hAnsi="等线" w:cs="等线" w:hint="eastAsia"/>
        </w:rPr>
        <w:t>≈</w:t>
      </w:r>
      <w:r w:rsidRPr="00492FFF">
        <w:t>6</w:t>
      </w:r>
      <w:r w:rsidRPr="00492FFF">
        <w:rPr>
          <w:rFonts w:ascii="MS Gothic" w:eastAsia="MS Gothic" w:hAnsi="MS Gothic" w:cs="MS Gothic" w:hint="eastAsia"/>
        </w:rPr>
        <w:t> </w:t>
      </w:r>
      <w:r w:rsidRPr="00492FFF">
        <w:t>g) was defined as the mechanical threshold (unit: grams). Both hind paws were measured three times per session with a recovery time of one minute between measurements. All tests were performed by the same blinded investigator.</w:t>
      </w:r>
    </w:p>
    <w:p w14:paraId="2C4648AD" w14:textId="77777777" w:rsidR="00492FFF" w:rsidRPr="00492FFF" w:rsidRDefault="00492FFF" w:rsidP="00492FFF">
      <w:r w:rsidRPr="00492FFF">
        <w:t>Pain sensitivity screening and relative sensitivity calculation</w:t>
      </w:r>
    </w:p>
    <w:p w14:paraId="1F5EEC24" w14:textId="77777777" w:rsidR="00492FFF" w:rsidRPr="00492FFF" w:rsidRDefault="00492FFF" w:rsidP="00492FFF">
      <w:r w:rsidRPr="00492FFF">
        <w:t>All mice were tested for pain sensitivity using hot plate and von Frey filaments three times within one week before experimental injury to minimize habituation effects (pre-CCI), and then they were tested once seven days after surgery (post-CCI). To reduce inter-animal variability, relative pain sensitivity was calculated for each animal by calculating the ratio between the post-CCI and average pre-CCI values (</w:t>
      </w:r>
      <w:proofErr w:type="gramStart"/>
      <w:r w:rsidRPr="00492FFF">
        <w:t>i.e.</w:t>
      </w:r>
      <w:proofErr w:type="gramEnd"/>
      <w:r w:rsidRPr="00492FFF">
        <w:t xml:space="preserve"> post-CCI/pre-CCI) of the thermal and mechanical thresholds. Thus, a low ratio indicates a low pain threshold and vice versa.</w:t>
      </w:r>
    </w:p>
    <w:p w14:paraId="1795EC02" w14:textId="77777777" w:rsidR="00492FFF" w:rsidRPr="00492FFF" w:rsidRDefault="00492FFF" w:rsidP="00492FFF">
      <w:r w:rsidRPr="00492FFF">
        <w:t>Histology</w:t>
      </w:r>
    </w:p>
    <w:p w14:paraId="6D8BD4C7" w14:textId="77777777" w:rsidR="00492FFF" w:rsidRPr="00492FFF" w:rsidRDefault="00492FFF" w:rsidP="00492FFF">
      <w:r w:rsidRPr="00492FFF">
        <w:t>Seven days after CCI, pain threshold measurements were performed and mice were then sacrificed by isoflurane narcosis and subsequent cervical dislocation. Sciatic nerves were dissected and embedded in either paraffin or epoxy resin.</w:t>
      </w:r>
    </w:p>
    <w:p w14:paraId="286EBE25" w14:textId="77777777" w:rsidR="00492FFF" w:rsidRPr="00492FFF" w:rsidRDefault="00492FFF" w:rsidP="00492FFF">
      <w:r w:rsidRPr="00492FFF">
        <w:lastRenderedPageBreak/>
        <w:t>For paraffin embedding, nerve sections including CCI-crush sites were fixed with 4% paraformaldehyde (PFA) and subsequently dehydrated with increasing ethanol concentrations. Xylol was used as intermediate substance before immersing nerve sections in warmed-up paraffin. Sections of 6-µm thickness were cut proximal, central and distal to a CCI lesion with a microtome (Reichert-Jung). Primary antibodies used for staining paraffin sections were rabbit polyclonal anti-human/mouse/rat S100-A1 (Sigma #SAB4502708; 1:2000), mouse monoclonal anti-mouse/rat MHC II (</w:t>
      </w:r>
      <w:proofErr w:type="spellStart"/>
      <w:r w:rsidRPr="00492FFF">
        <w:t>Serotec</w:t>
      </w:r>
      <w:proofErr w:type="spellEnd"/>
      <w:r w:rsidRPr="00492FFF">
        <w:t xml:space="preserve"> #MCA2687GA; 1:100), rabbit polyclonal anti-Neurofilament L (α-NFL; </w:t>
      </w:r>
      <w:proofErr w:type="spellStart"/>
      <w:r w:rsidRPr="00492FFF">
        <w:t>Chemicon</w:t>
      </w:r>
      <w:proofErr w:type="spellEnd"/>
      <w:r w:rsidRPr="00492FFF">
        <w:t xml:space="preserve"> International, Temecula, CA, #AB9568</w:t>
      </w:r>
      <w:r w:rsidRPr="00492FFF">
        <w:rPr>
          <w:i/>
          <w:iCs/>
        </w:rPr>
        <w:t>;</w:t>
      </w:r>
      <w:r w:rsidRPr="00492FFF">
        <w:t> 1:4000) and mouse anti-CD4 (Abcam #ab51312; 1:2000). All antibodies were diluted in antibody diluent (DAKO #S3022). Nuclei were stained with DAPI (included in used mounting medium with 1.5</w:t>
      </w:r>
      <w:r w:rsidRPr="00492FFF">
        <w:rPr>
          <w:rFonts w:ascii="MS Gothic" w:eastAsia="MS Gothic" w:hAnsi="MS Gothic" w:cs="MS Gothic" w:hint="eastAsia"/>
        </w:rPr>
        <w:t> </w:t>
      </w:r>
      <w:r w:rsidRPr="00492FFF">
        <w:rPr>
          <w:rFonts w:ascii="等线" w:eastAsia="等线" w:hAnsi="等线" w:cs="等线" w:hint="eastAsia"/>
        </w:rPr>
        <w:t>µ</w:t>
      </w:r>
      <w:r w:rsidRPr="00492FFF">
        <w:t>g/ml DAPI from vector #H-1200) or hemalum. Visualization was performed either with the help of the fluorescent secondary antibodies Alexa Fluor 488-conjugated goat anti-rabbit IgG (Invitrogen #A11034; 1:200 in PBS) and Alexa Fluor 594-conjugated goat anti-mouse IgG (Invitrogen #A11032; 1:200 in PBS) or DAB-based staining as previously described</w:t>
      </w:r>
      <w:hyperlink r:id="rId35" w:anchor="ref-CR10" w:tooltip="Meyer Zu Horste, G. et al. Expression of antigen processing and presenting molecules by Schwann cells in inflammatory neuropathies. Glia &#10;                           58, 80–92, &#10;                    https://doi.org/10.1002/glia.20903&#10;                    &#10;       " w:history="1">
        <w:r w:rsidRPr="00492FFF">
          <w:rPr>
            <w:rStyle w:val="a7"/>
          </w:rPr>
          <w:t>10</w:t>
        </w:r>
      </w:hyperlink>
      <w:r w:rsidRPr="00492FFF">
        <w:t xml:space="preserve">. Stained sections were photographed on an </w:t>
      </w:r>
      <w:proofErr w:type="spellStart"/>
      <w:r w:rsidRPr="00492FFF">
        <w:t>Axioplan</w:t>
      </w:r>
      <w:proofErr w:type="spellEnd"/>
      <w:r w:rsidRPr="00492FFF">
        <w:t xml:space="preserve"> 2 microscope (Zeiss) with an </w:t>
      </w:r>
      <w:proofErr w:type="spellStart"/>
      <w:r w:rsidRPr="00492FFF">
        <w:t>AxioCam</w:t>
      </w:r>
      <w:proofErr w:type="spellEnd"/>
      <w:r w:rsidRPr="00492FFF">
        <w:t xml:space="preserve"> HRC camera (Zeiss). Pictures of DAB-stained nerve sections were merged using Adobe Photoshop CS3 (Adobe Systems) and ImageJ was used to manually count the total number of cell infiltrates as well as the number of CD4 positive cells per area. The fluorescence signal based on α-NFL staining was quantified as arbitrary units (AU) using integrated density measurements in ImageJ.</w:t>
      </w:r>
    </w:p>
    <w:p w14:paraId="3B8161FD" w14:textId="77777777" w:rsidR="00492FFF" w:rsidRPr="00492FFF" w:rsidRDefault="00492FFF" w:rsidP="00492FFF">
      <w:r w:rsidRPr="00492FFF">
        <w:t>Sciatic nerves were epoxy resin embedded as previously described</w:t>
      </w:r>
      <w:hyperlink r:id="rId36" w:anchor="ref-CR45" w:tooltip="Meyer zu Horste, G. et al. Antiprogesterone therapy uncouples axonal loss from demyelination in a transgenic rat model of CMT1A neuropathy. Ann Neurol &#10;                           61, 61–72 (2007)." w:history="1">
        <w:r w:rsidRPr="00492FFF">
          <w:rPr>
            <w:rStyle w:val="a7"/>
          </w:rPr>
          <w:t>45</w:t>
        </w:r>
      </w:hyperlink>
      <w:r w:rsidRPr="00492FFF">
        <w:t>. Semi-thin sections (0.5</w:t>
      </w:r>
      <w:r w:rsidRPr="00492FFF">
        <w:rPr>
          <w:rFonts w:ascii="MS Gothic" w:eastAsia="MS Gothic" w:hAnsi="MS Gothic" w:cs="MS Gothic" w:hint="eastAsia"/>
        </w:rPr>
        <w:t> </w:t>
      </w:r>
      <w:r w:rsidRPr="00492FFF">
        <w:rPr>
          <w:rFonts w:ascii="等线" w:eastAsia="等线" w:hAnsi="等线" w:cs="等线" w:hint="eastAsia"/>
        </w:rPr>
        <w:t>µ</w:t>
      </w:r>
      <w:r w:rsidRPr="00492FFF">
        <w:t xml:space="preserve">m) of sciatic nerves were cut 2 mm proximal to the most proximal CCI lesion site using an </w:t>
      </w:r>
      <w:proofErr w:type="spellStart"/>
      <w:r w:rsidRPr="00492FFF">
        <w:t>Ultracut</w:t>
      </w:r>
      <w:proofErr w:type="spellEnd"/>
      <w:r w:rsidRPr="00492FFF">
        <w:t xml:space="preserve"> E microtome (Reichert-Jung). Sections were Toluidine-Blue stained with 1% Borax (disodium tetraborate solution), mounted using a </w:t>
      </w:r>
      <w:proofErr w:type="spellStart"/>
      <w:r w:rsidRPr="00492FFF">
        <w:t>RotiHisto</w:t>
      </w:r>
      <w:proofErr w:type="spellEnd"/>
      <w:r w:rsidRPr="00492FFF">
        <w:t xml:space="preserve"> Kit II (Roth) according to manufacturer</w:t>
      </w:r>
      <w:proofErr w:type="gramStart"/>
      <w:r w:rsidRPr="00492FFF">
        <w:rPr>
          <w:rFonts w:ascii="等线" w:eastAsia="等线" w:hAnsi="等线" w:cs="等线" w:hint="eastAsia"/>
        </w:rPr>
        <w:t>’</w:t>
      </w:r>
      <w:proofErr w:type="gramEnd"/>
      <w:r w:rsidRPr="00492FFF">
        <w:t xml:space="preserve">s instructions and photographed at 63x magnification with an </w:t>
      </w:r>
      <w:proofErr w:type="spellStart"/>
      <w:r w:rsidRPr="00492FFF">
        <w:t>AxioCam</w:t>
      </w:r>
      <w:proofErr w:type="spellEnd"/>
      <w:r w:rsidRPr="00492FFF">
        <w:t xml:space="preserve"> HRC camera (Zeiss) on an </w:t>
      </w:r>
      <w:proofErr w:type="spellStart"/>
      <w:r w:rsidRPr="00492FFF">
        <w:t>Axioplan</w:t>
      </w:r>
      <w:proofErr w:type="spellEnd"/>
      <w:r w:rsidRPr="00492FFF">
        <w:t xml:space="preserve"> 2 microscope (Zeiss). Overlapping pictures of the entire nerve section were merged using Adobe Photoshop. Axon circumference and myelin circumference were manually measured for &gt;100 axons per nerve section using ImageJ. The </w:t>
      </w:r>
      <w:r w:rsidRPr="00492FFF">
        <w:rPr>
          <w:i/>
          <w:iCs/>
        </w:rPr>
        <w:t>g</w:t>
      </w:r>
      <w:r w:rsidRPr="00492FFF">
        <w:t> ratio was calculated by dividing axon circumference by myelin circumference. The higher the </w:t>
      </w:r>
      <w:r w:rsidRPr="00492FFF">
        <w:rPr>
          <w:i/>
          <w:iCs/>
        </w:rPr>
        <w:t>g</w:t>
      </w:r>
      <w:r w:rsidRPr="00492FFF">
        <w:t> ratio, the thinner the myelin sheath of the axon</w:t>
      </w:r>
      <w:hyperlink r:id="rId37" w:anchor="ref-CR45" w:tooltip="Meyer zu Horste, G. et al. Antiprogesterone therapy uncouples axonal loss from demyelination in a transgenic rat model of CMT1A neuropathy. Ann Neurol &#10;                           61, 61–72 (2007)." w:history="1">
        <w:r w:rsidRPr="00492FFF">
          <w:rPr>
            <w:rStyle w:val="a7"/>
          </w:rPr>
          <w:t>45</w:t>
        </w:r>
      </w:hyperlink>
      <w:r w:rsidRPr="00492FFF">
        <w:t>.</w:t>
      </w:r>
    </w:p>
    <w:p w14:paraId="4429BCFF" w14:textId="051FA4A4" w:rsidR="00492FFF" w:rsidRDefault="00492FFF">
      <w:pPr>
        <w:widowControl/>
        <w:jc w:val="left"/>
      </w:pPr>
      <w:r>
        <w:rPr>
          <w:rFonts w:hint="eastAsia"/>
        </w:rPr>
        <w:br w:type="page"/>
      </w:r>
    </w:p>
    <w:p w14:paraId="29FBC939" w14:textId="46AD1DF1" w:rsidR="00492FFF" w:rsidRDefault="00A75605" w:rsidP="0055653F">
      <w:r>
        <w:rPr>
          <w:rFonts w:hint="eastAsia"/>
        </w:rPr>
        <w:lastRenderedPageBreak/>
        <w:t>5.</w:t>
      </w:r>
      <w:hyperlink r:id="rId38" w:history="1">
        <w:r w:rsidR="009A2850" w:rsidRPr="009A2850">
          <w:rPr>
            <w:rStyle w:val="a7"/>
          </w:rPr>
          <w:t>Acute and chronic pain affects local field potential of the medial prefrontal cortex in different band neural oscillations - PubMed</w:t>
        </w:r>
      </w:hyperlink>
    </w:p>
    <w:p w14:paraId="1934B856" w14:textId="77777777" w:rsidR="009A2850" w:rsidRDefault="009A2850" w:rsidP="0055653F"/>
    <w:p w14:paraId="41530A51" w14:textId="77777777" w:rsidR="009A2850" w:rsidRPr="009A2850" w:rsidRDefault="009A2850" w:rsidP="009A2850">
      <w:pPr>
        <w:rPr>
          <w:b/>
          <w:bCs/>
        </w:rPr>
      </w:pPr>
      <w:r w:rsidRPr="009A2850">
        <w:rPr>
          <w:rFonts w:hint="eastAsia"/>
          <w:b/>
          <w:bCs/>
        </w:rPr>
        <w:t>Acute and chronic pain affects local field potential of the medial prefrontal cortex in different band neural oscillations</w:t>
      </w:r>
    </w:p>
    <w:p w14:paraId="3EC07155" w14:textId="29BFA32A" w:rsidR="009A2850" w:rsidRDefault="009A2850" w:rsidP="009A2850">
      <w:r>
        <w:rPr>
          <w:rFonts w:hint="eastAsia"/>
        </w:rPr>
        <w:t xml:space="preserve">Bo Fu 1, Shao-Nan Wen 1, Bin Wang 1, </w:t>
      </w:r>
      <w:proofErr w:type="spellStart"/>
      <w:r>
        <w:rPr>
          <w:rFonts w:hint="eastAsia"/>
        </w:rPr>
        <w:t>Kun</w:t>
      </w:r>
      <w:proofErr w:type="spellEnd"/>
      <w:r>
        <w:rPr>
          <w:rFonts w:hint="eastAsia"/>
        </w:rPr>
        <w:t xml:space="preserve"> Wang 2, Ji-Yan Zhang 3, Shao-Jun Liu 1</w:t>
      </w:r>
    </w:p>
    <w:p w14:paraId="6E1D4FE3" w14:textId="77777777" w:rsidR="005D5BA7" w:rsidRDefault="005D5BA7" w:rsidP="009A2850"/>
    <w:p w14:paraId="021F54E4" w14:textId="33C3BB67" w:rsidR="009A2850" w:rsidRDefault="005D5BA7" w:rsidP="009A2850">
      <w:r>
        <w:rPr>
          <w:rFonts w:hint="eastAsia"/>
          <w:noProof/>
        </w:rPr>
        <w:drawing>
          <wp:inline distT="0" distB="0" distL="0" distR="0" wp14:anchorId="4158F938" wp14:editId="672CAA2F">
            <wp:extent cx="4402836" cy="5509338"/>
            <wp:effectExtent l="0" t="0" r="0" b="0"/>
            <wp:docPr id="13560939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13115" cy="5522200"/>
                    </a:xfrm>
                    <a:prstGeom prst="rect">
                      <a:avLst/>
                    </a:prstGeom>
                    <a:noFill/>
                  </pic:spPr>
                </pic:pic>
              </a:graphicData>
            </a:graphic>
          </wp:inline>
        </w:drawing>
      </w:r>
    </w:p>
    <w:p w14:paraId="39AC6FF6" w14:textId="07184C72" w:rsidR="005D5BA7" w:rsidRDefault="005D5BA7" w:rsidP="005D5BA7">
      <w:r w:rsidRPr="005D5BA7">
        <w:t xml:space="preserve">Acute mechanical pain stimulus affected </w:t>
      </w:r>
      <w:proofErr w:type="spellStart"/>
      <w:r w:rsidRPr="005D5BA7">
        <w:t>mPFC</w:t>
      </w:r>
      <w:proofErr w:type="spellEnd"/>
      <w:r w:rsidRPr="005D5BA7">
        <w:t xml:space="preserve">-averaged LFP power spectra. (a) Location of the recording electrode in </w:t>
      </w:r>
      <w:proofErr w:type="spellStart"/>
      <w:r w:rsidRPr="005D5BA7">
        <w:t>mPFC</w:t>
      </w:r>
      <w:proofErr w:type="spellEnd"/>
      <w:r w:rsidRPr="005D5BA7">
        <w:t xml:space="preserve">, the tracks of implant in coronary slice, and the spots of implant in horizontal slice (20×, Hamamatsu Photonics). (b) Examples of actual LFP data in </w:t>
      </w:r>
      <w:proofErr w:type="spellStart"/>
      <w:r w:rsidRPr="005D5BA7">
        <w:t>mPFC</w:t>
      </w:r>
      <w:proofErr w:type="spellEnd"/>
      <w:r w:rsidRPr="005D5BA7">
        <w:t xml:space="preserve"> in free-moving rats for control and mechanical pain stimulus (4 s). (c, d) Linear graphs show averaged LFP power spectra (1–12</w:t>
      </w:r>
      <w:r w:rsidRPr="005D5BA7">
        <w:rPr>
          <w:rFonts w:ascii="MS Gothic" w:eastAsia="MS Gothic" w:hAnsi="MS Gothic" w:cs="MS Gothic" w:hint="eastAsia"/>
        </w:rPr>
        <w:t> </w:t>
      </w:r>
      <w:r w:rsidRPr="005D5BA7">
        <w:t>Hz, 12</w:t>
      </w:r>
      <w:r w:rsidRPr="005D5BA7">
        <w:rPr>
          <w:rFonts w:ascii="等线" w:eastAsia="等线" w:hAnsi="等线" w:cs="等线" w:hint="eastAsia"/>
        </w:rPr>
        <w:t>–</w:t>
      </w:r>
      <w:r w:rsidRPr="005D5BA7">
        <w:t>100</w:t>
      </w:r>
      <w:r w:rsidRPr="005D5BA7">
        <w:rPr>
          <w:rFonts w:ascii="MS Gothic" w:eastAsia="MS Gothic" w:hAnsi="MS Gothic" w:cs="MS Gothic" w:hint="eastAsia"/>
        </w:rPr>
        <w:t> </w:t>
      </w:r>
      <w:r w:rsidRPr="005D5BA7">
        <w:t xml:space="preserve">Hz). Bar graphs represent mean total LFP power in control and acute mechanical pain stimulus rats within six frequency band ranges: delta and theta oscillation, alpha oscillation, beta oscillation, low gamma, and high gamma oscillation. Acute mechanical pain stimulus significantly increased power spectral density (%) of </w:t>
      </w:r>
      <w:proofErr w:type="spellStart"/>
      <w:r w:rsidRPr="005D5BA7">
        <w:t>mPFC</w:t>
      </w:r>
      <w:proofErr w:type="spellEnd"/>
      <w:r w:rsidRPr="005D5BA7">
        <w:t xml:space="preserve"> in alpha band ((g) unpaired t-test, t</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4.433, p</w:t>
      </w:r>
      <w:r w:rsidRPr="005D5BA7">
        <w:rPr>
          <w:rFonts w:ascii="等线" w:eastAsia="等线" w:hAnsi="等线" w:cs="等线" w:hint="eastAsia"/>
        </w:rPr>
        <w:t> </w:t>
      </w:r>
      <w:r w:rsidRPr="005D5BA7">
        <w:rPr>
          <w:i/>
          <w:iCs/>
        </w:rPr>
        <w:t>&lt;</w:t>
      </w:r>
      <w:r w:rsidRPr="005D5BA7">
        <w:t xml:space="preserve"> 0.0001), and decreased </w:t>
      </w:r>
      <w:r w:rsidRPr="005D5BA7">
        <w:lastRenderedPageBreak/>
        <w:t>in beta ((h) unpaired t-test, t</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3.869, p</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0.0001), low gamma ((</w:t>
      </w:r>
      <w:proofErr w:type="spellStart"/>
      <w:r w:rsidRPr="005D5BA7">
        <w:t>i</w:t>
      </w:r>
      <w:proofErr w:type="spellEnd"/>
      <w:r w:rsidRPr="005D5BA7">
        <w:t>) unpaired t-test, t</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7.767, p</w:t>
      </w:r>
      <w:r w:rsidRPr="005D5BA7">
        <w:rPr>
          <w:rFonts w:ascii="MS Gothic" w:eastAsia="MS Gothic" w:hAnsi="MS Gothic" w:cs="MS Gothic" w:hint="eastAsia"/>
        </w:rPr>
        <w:t> </w:t>
      </w:r>
      <w:r w:rsidRPr="005D5BA7">
        <w:t>&lt;</w:t>
      </w:r>
      <w:r w:rsidRPr="005D5BA7">
        <w:rPr>
          <w:rFonts w:ascii="MS Gothic" w:eastAsia="MS Gothic" w:hAnsi="MS Gothic" w:cs="MS Gothic" w:hint="eastAsia"/>
        </w:rPr>
        <w:t> </w:t>
      </w:r>
      <w:r w:rsidRPr="005D5BA7">
        <w:t>0.0001) and high gamma oscillation ((l) unpaired t-test, t</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5.203, p</w:t>
      </w:r>
      <w:r w:rsidRPr="005D5BA7">
        <w:rPr>
          <w:rFonts w:ascii="MS Gothic" w:eastAsia="MS Gothic" w:hAnsi="MS Gothic" w:cs="MS Gothic" w:hint="eastAsia"/>
        </w:rPr>
        <w:t> </w:t>
      </w:r>
      <w:r w:rsidRPr="005D5BA7">
        <w:t>&lt;</w:t>
      </w:r>
      <w:r w:rsidRPr="005D5BA7">
        <w:rPr>
          <w:rFonts w:ascii="MS Gothic" w:eastAsia="MS Gothic" w:hAnsi="MS Gothic" w:cs="MS Gothic" w:hint="eastAsia"/>
        </w:rPr>
        <w:t> </w:t>
      </w:r>
      <w:r w:rsidRPr="005D5BA7">
        <w:t>0.0001) as compared to control rats; (e, f) no difference appeared in delta and theta oscillations. n</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144 (LFP channels), 9 (control rats); n</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96 (LFP channels), 6 (mechanical pain stimulus rats). Values are reported as mean</w:t>
      </w:r>
      <w:r w:rsidRPr="005D5BA7">
        <w:rPr>
          <w:rFonts w:ascii="MS Gothic" w:eastAsia="MS Gothic" w:hAnsi="MS Gothic" w:cs="MS Gothic" w:hint="eastAsia"/>
        </w:rPr>
        <w:t> </w:t>
      </w:r>
      <w:r w:rsidRPr="005D5BA7">
        <w:rPr>
          <w:rFonts w:ascii="等线" w:eastAsia="等线" w:hAnsi="等线" w:cs="等线" w:hint="eastAsia"/>
        </w:rPr>
        <w:t>±</w:t>
      </w:r>
      <w:r w:rsidRPr="005D5BA7">
        <w:rPr>
          <w:rFonts w:ascii="MS Gothic" w:eastAsia="MS Gothic" w:hAnsi="MS Gothic" w:cs="MS Gothic" w:hint="eastAsia"/>
        </w:rPr>
        <w:t> </w:t>
      </w:r>
      <w:r w:rsidRPr="005D5BA7">
        <w:t>SEM; ***p</w:t>
      </w:r>
      <w:r w:rsidRPr="005D5BA7">
        <w:rPr>
          <w:rFonts w:ascii="MS Gothic" w:eastAsia="MS Gothic" w:hAnsi="MS Gothic" w:cs="MS Gothic" w:hint="eastAsia"/>
        </w:rPr>
        <w:t> </w:t>
      </w:r>
      <w:r w:rsidRPr="005D5BA7">
        <w:t>&lt;</w:t>
      </w:r>
      <w:r w:rsidRPr="005D5BA7">
        <w:rPr>
          <w:rFonts w:ascii="MS Gothic" w:eastAsia="MS Gothic" w:hAnsi="MS Gothic" w:cs="MS Gothic" w:hint="eastAsia"/>
        </w:rPr>
        <w:t> </w:t>
      </w:r>
      <w:r w:rsidRPr="005D5BA7">
        <w:t>0.001, ****p</w:t>
      </w:r>
      <w:r w:rsidRPr="005D5BA7">
        <w:rPr>
          <w:rFonts w:ascii="MS Gothic" w:eastAsia="MS Gothic" w:hAnsi="MS Gothic" w:cs="MS Gothic" w:hint="eastAsia"/>
        </w:rPr>
        <w:t> </w:t>
      </w:r>
      <w:r w:rsidRPr="005D5BA7">
        <w:t>&lt;</w:t>
      </w:r>
      <w:r w:rsidRPr="005D5BA7">
        <w:rPr>
          <w:rFonts w:ascii="MS Gothic" w:eastAsia="MS Gothic" w:hAnsi="MS Gothic" w:cs="MS Gothic" w:hint="eastAsia"/>
        </w:rPr>
        <w:t> </w:t>
      </w:r>
      <w:r w:rsidRPr="005D5BA7">
        <w:t>0.0001.</w:t>
      </w:r>
    </w:p>
    <w:p w14:paraId="5B8245A2" w14:textId="77777777" w:rsidR="005D5BA7" w:rsidRDefault="005D5BA7" w:rsidP="005D5BA7"/>
    <w:p w14:paraId="7F1DFC9F" w14:textId="12502EB5" w:rsidR="005D5BA7" w:rsidRDefault="005D5BA7" w:rsidP="005D5BA7">
      <w:r>
        <w:rPr>
          <w:rFonts w:hint="eastAsia"/>
          <w:noProof/>
        </w:rPr>
        <w:drawing>
          <wp:inline distT="0" distB="0" distL="0" distR="0" wp14:anchorId="69428C43" wp14:editId="23CC4D41">
            <wp:extent cx="4498848" cy="5990571"/>
            <wp:effectExtent l="0" t="0" r="0" b="0"/>
            <wp:docPr id="157686670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23434" cy="6023309"/>
                    </a:xfrm>
                    <a:prstGeom prst="rect">
                      <a:avLst/>
                    </a:prstGeom>
                    <a:noFill/>
                  </pic:spPr>
                </pic:pic>
              </a:graphicData>
            </a:graphic>
          </wp:inline>
        </w:drawing>
      </w:r>
    </w:p>
    <w:p w14:paraId="2C0D9135" w14:textId="4070F13B" w:rsidR="005D5BA7" w:rsidRDefault="005D5BA7" w:rsidP="005D5BA7">
      <w:r w:rsidRPr="005D5BA7">
        <w:t xml:space="preserve">Chronic neuropathic pain stimulus affected </w:t>
      </w:r>
      <w:proofErr w:type="spellStart"/>
      <w:r w:rsidRPr="005D5BA7">
        <w:t>mPFC</w:t>
      </w:r>
      <w:proofErr w:type="spellEnd"/>
      <w:r w:rsidRPr="005D5BA7">
        <w:t>-averaged LFP power spectra. (a) SNI decreased mechanical withdrawal threshold (n</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6 for each group, repeated measure two-way ANOVA followed by Bonferroni</w:t>
      </w:r>
      <w:r w:rsidRPr="005D5BA7">
        <w:rPr>
          <w:rFonts w:ascii="等线" w:eastAsia="等线" w:hAnsi="等线" w:cs="等线" w:hint="eastAsia"/>
        </w:rPr>
        <w:t> </w:t>
      </w:r>
      <w:r w:rsidRPr="005D5BA7">
        <w:rPr>
          <w:i/>
          <w:iCs/>
        </w:rPr>
        <w:t>post hoc</w:t>
      </w:r>
      <w:r w:rsidRPr="005D5BA7">
        <w:t> test; effect of time, F(1, 20)</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147.5; effect of group, F(3, 20)</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20.53; effect of interaction, F(3, 20)</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14.31, p</w:t>
      </w:r>
      <w:r w:rsidRPr="005D5BA7">
        <w:rPr>
          <w:rFonts w:ascii="MS Gothic" w:eastAsia="MS Gothic" w:hAnsi="MS Gothic" w:cs="MS Gothic" w:hint="eastAsia"/>
        </w:rPr>
        <w:t> </w:t>
      </w:r>
      <w:r w:rsidRPr="005D5BA7">
        <w:t>&lt;</w:t>
      </w:r>
      <w:r w:rsidRPr="005D5BA7">
        <w:rPr>
          <w:rFonts w:ascii="MS Gothic" w:eastAsia="MS Gothic" w:hAnsi="MS Gothic" w:cs="MS Gothic" w:hint="eastAsia"/>
        </w:rPr>
        <w:t> </w:t>
      </w:r>
      <w:r w:rsidRPr="005D5BA7">
        <w:t>0.0001, posttest ****p</w:t>
      </w:r>
      <w:r w:rsidRPr="005D5BA7">
        <w:rPr>
          <w:rFonts w:ascii="MS Gothic" w:eastAsia="MS Gothic" w:hAnsi="MS Gothic" w:cs="MS Gothic" w:hint="eastAsia"/>
        </w:rPr>
        <w:t> </w:t>
      </w:r>
      <w:r w:rsidRPr="005D5BA7">
        <w:t>&lt;</w:t>
      </w:r>
      <w:r w:rsidRPr="005D5BA7">
        <w:rPr>
          <w:rFonts w:ascii="MS Gothic" w:eastAsia="MS Gothic" w:hAnsi="MS Gothic" w:cs="MS Gothic" w:hint="eastAsia"/>
        </w:rPr>
        <w:t> </w:t>
      </w:r>
      <w:r w:rsidRPr="005D5BA7">
        <w:t xml:space="preserve">0.0001). (b) Examples of actual LFP data in </w:t>
      </w:r>
      <w:proofErr w:type="spellStart"/>
      <w:r w:rsidRPr="005D5BA7">
        <w:t>mPFC</w:t>
      </w:r>
      <w:proofErr w:type="spellEnd"/>
      <w:r w:rsidRPr="005D5BA7">
        <w:t xml:space="preserve"> in free-moving rats for baseline, SNI 14 days, SNI 28 days, and SNI 28 days +mechanical pain stimulus (4 s). (c, d) Linear graphs show averaged LFP power spectra (1</w:t>
      </w:r>
      <w:r w:rsidRPr="005D5BA7">
        <w:rPr>
          <w:rFonts w:ascii="等线" w:eastAsia="等线" w:hAnsi="等线" w:cs="等线" w:hint="eastAsia"/>
        </w:rPr>
        <w:t>–</w:t>
      </w:r>
      <w:r w:rsidRPr="005D5BA7">
        <w:t>12 Hz, 12</w:t>
      </w:r>
      <w:r w:rsidRPr="005D5BA7">
        <w:rPr>
          <w:rFonts w:ascii="等线" w:eastAsia="等线" w:hAnsi="等线" w:cs="等线" w:hint="eastAsia"/>
        </w:rPr>
        <w:t>–</w:t>
      </w:r>
      <w:r w:rsidRPr="005D5BA7">
        <w:t xml:space="preserve">100 Hz). Bar graphs represent mean total LFP </w:t>
      </w:r>
      <w:r w:rsidRPr="005D5BA7">
        <w:lastRenderedPageBreak/>
        <w:t>power in the group of baseline, SNI 14 days, SNI 28 days, and mechanical pain stimulus within six frequency band ranges: delta and theta oscillation, alpha oscillation, beta oscillation, and low gamma and high gamma oscillation; (e) chronic neuropathic pain decreased the power spectral density (%) in delta band oscillation (p</w:t>
      </w:r>
      <w:r w:rsidRPr="005D5BA7">
        <w:rPr>
          <w:rFonts w:ascii="MS Gothic" w:eastAsia="MS Gothic" w:hAnsi="MS Gothic" w:cs="MS Gothic" w:hint="eastAsia"/>
        </w:rPr>
        <w:t> </w:t>
      </w:r>
      <w:r w:rsidRPr="005D5BA7">
        <w:t>&lt;</w:t>
      </w:r>
      <w:r w:rsidRPr="005D5BA7">
        <w:rPr>
          <w:rFonts w:ascii="MS Gothic" w:eastAsia="MS Gothic" w:hAnsi="MS Gothic" w:cs="MS Gothic" w:hint="eastAsia"/>
        </w:rPr>
        <w:t> </w:t>
      </w:r>
      <w:r w:rsidRPr="005D5BA7">
        <w:t>0.0001, F(3, 252)</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17.19, p</w:t>
      </w:r>
      <w:r w:rsidRPr="005D5BA7">
        <w:rPr>
          <w:rFonts w:ascii="MS Gothic" w:eastAsia="MS Gothic" w:hAnsi="MS Gothic" w:cs="MS Gothic" w:hint="eastAsia"/>
        </w:rPr>
        <w:t> </w:t>
      </w:r>
      <w:r w:rsidRPr="005D5BA7">
        <w:t>&lt;</w:t>
      </w:r>
      <w:r w:rsidRPr="005D5BA7">
        <w:rPr>
          <w:rFonts w:ascii="MS Gothic" w:eastAsia="MS Gothic" w:hAnsi="MS Gothic" w:cs="MS Gothic" w:hint="eastAsia"/>
        </w:rPr>
        <w:t> </w:t>
      </w:r>
      <w:r w:rsidRPr="005D5BA7">
        <w:t xml:space="preserve">0.0001), the </w:t>
      </w:r>
      <w:proofErr w:type="spellStart"/>
      <w:r w:rsidRPr="005D5BA7">
        <w:t>mPFC</w:t>
      </w:r>
      <w:proofErr w:type="spellEnd"/>
      <w:r w:rsidRPr="005D5BA7">
        <w:t xml:space="preserve"> LFP power spectra density (%) was lower in delta oscillation after acute mechanical pain stimulus at day 28 after SNI surgery (p</w:t>
      </w:r>
      <w:r w:rsidRPr="005D5BA7">
        <w:rPr>
          <w:rFonts w:ascii="MS Gothic" w:eastAsia="MS Gothic" w:hAnsi="MS Gothic" w:cs="MS Gothic" w:hint="eastAsia"/>
        </w:rPr>
        <w:t> </w:t>
      </w:r>
      <w:r w:rsidRPr="005D5BA7">
        <w:t>&lt;</w:t>
      </w:r>
      <w:r w:rsidRPr="005D5BA7">
        <w:rPr>
          <w:rFonts w:ascii="MS Gothic" w:eastAsia="MS Gothic" w:hAnsi="MS Gothic" w:cs="MS Gothic" w:hint="eastAsia"/>
        </w:rPr>
        <w:t> </w:t>
      </w:r>
      <w:r w:rsidRPr="005D5BA7">
        <w:t>0.0001); (</w:t>
      </w:r>
      <w:proofErr w:type="spellStart"/>
      <w:r w:rsidRPr="005D5BA7">
        <w:t>i</w:t>
      </w:r>
      <w:proofErr w:type="spellEnd"/>
      <w:r w:rsidRPr="005D5BA7">
        <w:t>) the power spectral density (%) in low gamma oscillation was decreased at day 28 after SNI surgery as compared to day 14 after SNI (p</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0.009, F(3, 252)</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7.044, p</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0.0001) but with no difference from baseline (p</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0.3553) as well as allodynia rats after acute pain stimulation (p</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0.005). (l) High gamma band power spectral density was increased at day 14 after SNI surgery (p</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0.0450), and significantly decreased at day 28 after SNI (p</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0.0145) as compared to day 14 after SNI, as well as allodynia rats after acute pain stimulation (p</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0.0469, F(3, 252)</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4.023, p</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0.0081); (f, g, h) no significant differences appeared in theta, alpha, and beta oscillations. n</w:t>
      </w:r>
      <w:r w:rsidRPr="005D5BA7">
        <w:rPr>
          <w:rFonts w:ascii="MS Gothic" w:eastAsia="MS Gothic" w:hAnsi="MS Gothic" w:cs="MS Gothic" w:hint="eastAsia"/>
        </w:rPr>
        <w:t> </w:t>
      </w:r>
      <w:r w:rsidRPr="005D5BA7">
        <w:t>=</w:t>
      </w:r>
      <w:r w:rsidRPr="005D5BA7">
        <w:rPr>
          <w:rFonts w:ascii="MS Gothic" w:eastAsia="MS Gothic" w:hAnsi="MS Gothic" w:cs="MS Gothic" w:hint="eastAsia"/>
        </w:rPr>
        <w:t> </w:t>
      </w:r>
      <w:r w:rsidRPr="005D5BA7">
        <w:t>64 (LFP channels), 4 (rats). Values are reported as mean</w:t>
      </w:r>
      <w:r w:rsidRPr="005D5BA7">
        <w:rPr>
          <w:rFonts w:ascii="等线" w:eastAsia="等线" w:hAnsi="等线" w:cs="等线" w:hint="eastAsia"/>
        </w:rPr>
        <w:t>±</w:t>
      </w:r>
      <w:r w:rsidRPr="005D5BA7">
        <w:t>SEM; one-way ANOVA with Bonferroni</w:t>
      </w:r>
      <w:r w:rsidRPr="005D5BA7">
        <w:rPr>
          <w:rFonts w:ascii="等线" w:eastAsia="等线" w:hAnsi="等线" w:cs="等线" w:hint="eastAsia"/>
        </w:rPr>
        <w:t> </w:t>
      </w:r>
      <w:r w:rsidRPr="005D5BA7">
        <w:rPr>
          <w:i/>
          <w:iCs/>
        </w:rPr>
        <w:t>post hoc</w:t>
      </w:r>
      <w:r w:rsidRPr="005D5BA7">
        <w:t> test, *p</w:t>
      </w:r>
      <w:r w:rsidRPr="005D5BA7">
        <w:rPr>
          <w:rFonts w:ascii="MS Gothic" w:eastAsia="MS Gothic" w:hAnsi="MS Gothic" w:cs="MS Gothic" w:hint="eastAsia"/>
        </w:rPr>
        <w:t> </w:t>
      </w:r>
      <w:r w:rsidRPr="005D5BA7">
        <w:t>&lt;</w:t>
      </w:r>
      <w:r w:rsidRPr="005D5BA7">
        <w:rPr>
          <w:rFonts w:ascii="MS Gothic" w:eastAsia="MS Gothic" w:hAnsi="MS Gothic" w:cs="MS Gothic" w:hint="eastAsia"/>
        </w:rPr>
        <w:t> </w:t>
      </w:r>
      <w:r w:rsidRPr="005D5BA7">
        <w:t>0.05, ***p</w:t>
      </w:r>
      <w:r w:rsidRPr="005D5BA7">
        <w:rPr>
          <w:rFonts w:ascii="MS Gothic" w:eastAsia="MS Gothic" w:hAnsi="MS Gothic" w:cs="MS Gothic" w:hint="eastAsia"/>
        </w:rPr>
        <w:t> </w:t>
      </w:r>
      <w:r w:rsidRPr="005D5BA7">
        <w:t>&lt;</w:t>
      </w:r>
      <w:r w:rsidRPr="005D5BA7">
        <w:rPr>
          <w:rFonts w:ascii="MS Gothic" w:eastAsia="MS Gothic" w:hAnsi="MS Gothic" w:cs="MS Gothic" w:hint="eastAsia"/>
        </w:rPr>
        <w:t> </w:t>
      </w:r>
      <w:r w:rsidRPr="005D5BA7">
        <w:t>0.001, ****p</w:t>
      </w:r>
      <w:r w:rsidRPr="005D5BA7">
        <w:rPr>
          <w:rFonts w:ascii="MS Gothic" w:eastAsia="MS Gothic" w:hAnsi="MS Gothic" w:cs="MS Gothic" w:hint="eastAsia"/>
        </w:rPr>
        <w:t> </w:t>
      </w:r>
      <w:r w:rsidRPr="005D5BA7">
        <w:t>&lt;</w:t>
      </w:r>
      <w:r w:rsidRPr="005D5BA7">
        <w:rPr>
          <w:rFonts w:ascii="MS Gothic" w:eastAsia="MS Gothic" w:hAnsi="MS Gothic" w:cs="MS Gothic" w:hint="eastAsia"/>
        </w:rPr>
        <w:t> </w:t>
      </w:r>
      <w:r w:rsidRPr="005D5BA7">
        <w:t>0.0001. SNI: spared nerve injury.</w:t>
      </w:r>
    </w:p>
    <w:p w14:paraId="3313ED4D" w14:textId="77777777" w:rsidR="005D5BA7" w:rsidRDefault="005D5BA7" w:rsidP="005D5BA7"/>
    <w:p w14:paraId="364C5E3E" w14:textId="77777777" w:rsidR="005D5BA7" w:rsidRDefault="005D5BA7" w:rsidP="005D5BA7"/>
    <w:p w14:paraId="0D0E9309" w14:textId="77777777" w:rsidR="005D5BA7" w:rsidRPr="005D5BA7" w:rsidRDefault="005D5BA7" w:rsidP="005D5BA7">
      <w:r w:rsidRPr="005D5BA7">
        <w:t>Behavioral tests</w:t>
      </w:r>
    </w:p>
    <w:p w14:paraId="032B65F6" w14:textId="77777777" w:rsidR="005D5BA7" w:rsidRPr="005D5BA7" w:rsidRDefault="005D5BA7" w:rsidP="005D5BA7">
      <w:r w:rsidRPr="005D5BA7">
        <w:t>Acute mechanical stimulus</w:t>
      </w:r>
    </w:p>
    <w:p w14:paraId="32F34FDB" w14:textId="77777777" w:rsidR="005D5BA7" w:rsidRPr="005D5BA7" w:rsidRDefault="005D5BA7" w:rsidP="005D5BA7">
      <w:r w:rsidRPr="005D5BA7">
        <w:t xml:space="preserve">The 8 g von Frey filament was used to stimulate each rat’s paw for 4 s, which led to paw withdrawal reflex during in vivo electrophysiological recording before and 28 days after SNI surgery to explore the relationship between acute mechanical stimulus and </w:t>
      </w:r>
      <w:proofErr w:type="spellStart"/>
      <w:r w:rsidRPr="005D5BA7">
        <w:t>mPFC</w:t>
      </w:r>
      <w:proofErr w:type="spellEnd"/>
      <w:r w:rsidRPr="005D5BA7">
        <w:t xml:space="preserve"> electrical activity.</w:t>
      </w:r>
    </w:p>
    <w:p w14:paraId="3B4B54F6" w14:textId="77777777" w:rsidR="005D5BA7" w:rsidRPr="005D5BA7" w:rsidRDefault="005D5BA7" w:rsidP="005D5BA7">
      <w:r w:rsidRPr="005D5BA7">
        <w:t>Mechanical hypersensitivity test</w:t>
      </w:r>
    </w:p>
    <w:p w14:paraId="54072806" w14:textId="77777777" w:rsidR="005D5BA7" w:rsidRPr="005D5BA7" w:rsidRDefault="005D5BA7" w:rsidP="005D5BA7">
      <w:r w:rsidRPr="005D5BA7">
        <w:t>Mechanical hypersensitivity was measured by von Frey filaments and Dixon up-down method. Briefly, the rats were individually placed into Plexiglas chambers over a mesh table and acclimated for 20 min before examination. Beginning with 2.0 g, von Frey filaments in a set with logarithmically incremental stiffness (0.8, 1.0, 1.2, 1.5, 2.0, 4.0, 6.0, 8.0, 10.0, and 15.0</w:t>
      </w:r>
      <w:r w:rsidRPr="005D5BA7">
        <w:rPr>
          <w:rFonts w:ascii="MS Gothic" w:eastAsia="MS Gothic" w:hAnsi="MS Gothic" w:cs="MS Gothic" w:hint="eastAsia"/>
        </w:rPr>
        <w:t> </w:t>
      </w:r>
      <w:r w:rsidRPr="005D5BA7">
        <w:t>g) were applied to the lateral one-third of right paws of rats.</w:t>
      </w:r>
    </w:p>
    <w:p w14:paraId="31975309" w14:textId="77777777" w:rsidR="005D5BA7" w:rsidRPr="005D5BA7" w:rsidRDefault="005D5BA7" w:rsidP="005D5BA7">
      <w:r w:rsidRPr="005D5BA7">
        <w:t>Surgery for SNI</w:t>
      </w:r>
    </w:p>
    <w:p w14:paraId="1559467B" w14:textId="77777777" w:rsidR="005D5BA7" w:rsidRPr="005D5BA7" w:rsidRDefault="005D5BA7" w:rsidP="005D5BA7">
      <w:r w:rsidRPr="005D5BA7">
        <w:t>All 16 rats were divided into two groups, one group with 10 rats were anesthetized by Nembutal (1%, 60 mg/kg), the skin of the right thigh was incised, and the biceps femoris muscle was dissected to expose the sciatic nerve’s three branches: sural, common peroneal, and tibial nerves. A 5-0 silk suture was used to ligate the common peroneal and tibial nerves and then excised distal to each knot to remove 3–5</w:t>
      </w:r>
      <w:r w:rsidRPr="005D5BA7">
        <w:rPr>
          <w:rFonts w:ascii="MS Gothic" w:eastAsia="MS Gothic" w:hAnsi="MS Gothic" w:cs="MS Gothic" w:hint="eastAsia"/>
        </w:rPr>
        <w:t> </w:t>
      </w:r>
      <w:r w:rsidRPr="005D5BA7">
        <w:t>mm of the distal ends. In the sham surgery group, the above nerves were exposed but not excised.</w:t>
      </w:r>
    </w:p>
    <w:p w14:paraId="1CF197BB" w14:textId="77777777" w:rsidR="005D5BA7" w:rsidRPr="005D5BA7" w:rsidRDefault="005D5BA7" w:rsidP="005D5BA7">
      <w:r w:rsidRPr="005D5BA7">
        <w:t>Statistical analysis</w:t>
      </w:r>
    </w:p>
    <w:p w14:paraId="7B569980" w14:textId="77777777" w:rsidR="005D5BA7" w:rsidRPr="005D5BA7" w:rsidRDefault="005D5BA7" w:rsidP="005D5BA7">
      <w:r w:rsidRPr="005D5BA7">
        <w:t>The unpaired t-test was used for comparisons of LFP power spectral density (%) between the two groups. The mechanical withdrawal threshold was analyzed by two-way analysis of variance (ANOVA) with Bonferroni post hoc test. One-way ANOVA with Bonferroni post hoc test was used for analysis of the LFP after SNI surgery. All the data are presented as the mean</w:t>
      </w:r>
      <w:r w:rsidRPr="005D5BA7">
        <w:rPr>
          <w:rFonts w:ascii="MS Gothic" w:eastAsia="MS Gothic" w:hAnsi="MS Gothic" w:cs="MS Gothic" w:hint="eastAsia"/>
        </w:rPr>
        <w:t> </w:t>
      </w:r>
      <w:r w:rsidRPr="005D5BA7">
        <w:rPr>
          <w:rFonts w:ascii="等线" w:eastAsia="等线" w:hAnsi="等线" w:cs="等线" w:hint="eastAsia"/>
        </w:rPr>
        <w:t>±</w:t>
      </w:r>
      <w:r w:rsidRPr="005D5BA7">
        <w:rPr>
          <w:rFonts w:ascii="MS Gothic" w:eastAsia="MS Gothic" w:hAnsi="MS Gothic" w:cs="MS Gothic" w:hint="eastAsia"/>
        </w:rPr>
        <w:t> </w:t>
      </w:r>
      <w:r w:rsidRPr="005D5BA7">
        <w:t>standard error of the mean. Graph pad PRISM 6.0 was used for statistical analysis.</w:t>
      </w:r>
    </w:p>
    <w:p w14:paraId="444BC906" w14:textId="77777777" w:rsidR="005D5BA7" w:rsidRPr="005D5BA7" w:rsidRDefault="005D5BA7" w:rsidP="005D5BA7">
      <w:r w:rsidRPr="005D5BA7">
        <w:t>Results</w:t>
      </w:r>
    </w:p>
    <w:p w14:paraId="2A6BB908" w14:textId="77777777" w:rsidR="005D5BA7" w:rsidRPr="005D5BA7" w:rsidRDefault="005D5BA7" w:rsidP="005D5BA7">
      <w:r w:rsidRPr="005D5BA7">
        <w:t xml:space="preserve">To study the electrophysiological mechanism between pain and mood disorder, we measured </w:t>
      </w:r>
      <w:r w:rsidRPr="005D5BA7">
        <w:lastRenderedPageBreak/>
        <w:t xml:space="preserve">the </w:t>
      </w:r>
      <w:proofErr w:type="spellStart"/>
      <w:r w:rsidRPr="005D5BA7">
        <w:t>mPFC</w:t>
      </w:r>
      <w:proofErr w:type="spellEnd"/>
      <w:r w:rsidRPr="005D5BA7">
        <w:t xml:space="preserve"> LFP after acute and chronic pain stimuli in free-moving rats (the spots of electrode in </w:t>
      </w:r>
      <w:proofErr w:type="spellStart"/>
      <w:r w:rsidRPr="005D5BA7">
        <w:t>mPFC</w:t>
      </w:r>
      <w:proofErr w:type="spellEnd"/>
      <w:r w:rsidRPr="005D5BA7">
        <w:t>, </w:t>
      </w:r>
      <w:hyperlink r:id="rId41" w:anchor="fig1-1744806918785686" w:history="1">
        <w:r w:rsidRPr="005D5BA7">
          <w:rPr>
            <w:rStyle w:val="a7"/>
          </w:rPr>
          <w:t>Figure 1(a)</w:t>
        </w:r>
      </w:hyperlink>
      <w:r w:rsidRPr="005D5BA7">
        <w:t>; examples of LFP data, </w:t>
      </w:r>
      <w:hyperlink r:id="rId42" w:anchor="fig1-1744806918785686" w:history="1">
        <w:r w:rsidRPr="005D5BA7">
          <w:rPr>
            <w:rStyle w:val="a7"/>
          </w:rPr>
          <w:t>Figure 1(b)</w:t>
        </w:r>
      </w:hyperlink>
      <w:r w:rsidRPr="005D5BA7">
        <w:t xml:space="preserve">). First, we examined the LFP of </w:t>
      </w:r>
      <w:proofErr w:type="spellStart"/>
      <w:r w:rsidRPr="005D5BA7">
        <w:t>mPFC</w:t>
      </w:r>
      <w:proofErr w:type="spellEnd"/>
      <w:r w:rsidRPr="005D5BA7">
        <w:t xml:space="preserve"> by average power spectra (</w:t>
      </w:r>
      <w:hyperlink r:id="rId43" w:anchor="fig1-1744806918785686" w:history="1">
        <w:r w:rsidRPr="005D5BA7">
          <w:rPr>
            <w:rStyle w:val="a7"/>
          </w:rPr>
          <w:t>Figure 1(c) and (d)</w:t>
        </w:r>
      </w:hyperlink>
      <w:r w:rsidRPr="005D5BA7">
        <w:t>) when the rat withdrew its paw after pain stimulus of 4 s with 8.0 g von Frey filaments. The results showed that acute mechanical stimulus significantly increased the power spectral density (%) in the alpha oscillation (</w:t>
      </w:r>
      <w:hyperlink r:id="rId44" w:anchor="fig1-1744806918785686" w:history="1">
        <w:r w:rsidRPr="005D5BA7">
          <w:rPr>
            <w:rStyle w:val="a7"/>
          </w:rPr>
          <w:t>Figure 1(g)</w:t>
        </w:r>
      </w:hyperlink>
      <w:r w:rsidRPr="005D5BA7">
        <w:t>) and decreased the power spectral density in beta, low gamma, and high gamma oscillations (</w:t>
      </w:r>
      <w:hyperlink r:id="rId45" w:anchor="fig1-1744806918785686" w:history="1">
        <w:r w:rsidRPr="005D5BA7">
          <w:rPr>
            <w:rStyle w:val="a7"/>
          </w:rPr>
          <w:t>Figure 1(h) to (i), and (l)</w:t>
        </w:r>
      </w:hyperlink>
      <w:r w:rsidRPr="005D5BA7">
        <w:t>) as compared to the control rats but no difference in delta and theta oscillation (</w:t>
      </w:r>
      <w:hyperlink r:id="rId46" w:anchor="fig1-1744806918785686" w:history="1">
        <w:r w:rsidRPr="005D5BA7">
          <w:rPr>
            <w:rStyle w:val="a7"/>
          </w:rPr>
          <w:t>Figure 1(e) and (</w:t>
        </w:r>
      </w:hyperlink>
      <w:r w:rsidRPr="005D5BA7">
        <w:t xml:space="preserve">f)). These data revealed that acute mechanical pain stimulus affected </w:t>
      </w:r>
      <w:proofErr w:type="spellStart"/>
      <w:r w:rsidRPr="005D5BA7">
        <w:t>mPFC</w:t>
      </w:r>
      <w:proofErr w:type="spellEnd"/>
      <w:r w:rsidRPr="005D5BA7">
        <w:t>-averaged LFP power spectra.</w:t>
      </w:r>
    </w:p>
    <w:p w14:paraId="01A6372F" w14:textId="77777777" w:rsidR="005D5BA7" w:rsidRPr="005D5BA7" w:rsidRDefault="005D5BA7" w:rsidP="005D5BA7">
      <w:r w:rsidRPr="005D5BA7">
        <w:t>Figure 1.</w:t>
      </w:r>
    </w:p>
    <w:p w14:paraId="6007CCE5" w14:textId="1FBA0C5C" w:rsidR="005D5BA7" w:rsidRDefault="005D5BA7">
      <w:pPr>
        <w:widowControl/>
        <w:jc w:val="left"/>
      </w:pPr>
      <w:r>
        <w:rPr>
          <w:rFonts w:hint="eastAsia"/>
        </w:rPr>
        <w:br w:type="page"/>
      </w:r>
    </w:p>
    <w:p w14:paraId="3F78F213" w14:textId="318DBADC" w:rsidR="005D5BA7" w:rsidRDefault="00A75605" w:rsidP="005D5BA7">
      <w:r>
        <w:rPr>
          <w:rFonts w:hint="eastAsia"/>
        </w:rPr>
        <w:lastRenderedPageBreak/>
        <w:t>6.</w:t>
      </w:r>
      <w:hyperlink r:id="rId47" w:history="1">
        <w:r w:rsidR="000A6D36" w:rsidRPr="000A6D36">
          <w:rPr>
            <w:rStyle w:val="a7"/>
          </w:rPr>
          <w:t>Antinociception induced by rosuvastatin in murine neuropathic pain - ScienceDirect</w:t>
        </w:r>
      </w:hyperlink>
    </w:p>
    <w:p w14:paraId="6B1F4897" w14:textId="77777777" w:rsidR="000A6D36" w:rsidRDefault="000A6D36" w:rsidP="005D5BA7"/>
    <w:p w14:paraId="27286622" w14:textId="77777777" w:rsidR="000A6D36" w:rsidRPr="000A6D36" w:rsidRDefault="000A6D36" w:rsidP="000A6D36">
      <w:pPr>
        <w:rPr>
          <w:b/>
          <w:bCs/>
        </w:rPr>
      </w:pPr>
      <w:r w:rsidRPr="000A6D36">
        <w:rPr>
          <w:b/>
          <w:bCs/>
        </w:rPr>
        <w:t>Antinociception induced by rosuvastatin in murine neuropathic pain</w:t>
      </w:r>
    </w:p>
    <w:p w14:paraId="53E2E9B6" w14:textId="0AE5BB67" w:rsidR="000A6D36" w:rsidRPr="000A6D36" w:rsidRDefault="000A6D36" w:rsidP="000A6D36">
      <w:r w:rsidRPr="000A6D36">
        <w:t>HugoF. Miranda </w:t>
      </w:r>
      <w:r w:rsidRPr="000A6D36">
        <w:rPr>
          <w:vertAlign w:val="superscript"/>
        </w:rPr>
        <w:t>a</w:t>
      </w:r>
      <w:r w:rsidRPr="000A6D36">
        <w:t>, Fernando Sierralta </w:t>
      </w:r>
      <w:r w:rsidRPr="000A6D36">
        <w:rPr>
          <w:vertAlign w:val="superscript"/>
        </w:rPr>
        <w:t>a</w:t>
      </w:r>
      <w:r w:rsidRPr="000A6D36">
        <w:t>, Nicolas Aranda </w:t>
      </w:r>
      <w:r w:rsidRPr="000A6D36">
        <w:rPr>
          <w:vertAlign w:val="superscript"/>
        </w:rPr>
        <w:t>a</w:t>
      </w:r>
      <w:r w:rsidRPr="000A6D36">
        <w:t>, Paula Poblete </w:t>
      </w:r>
      <w:r w:rsidRPr="000A6D36">
        <w:rPr>
          <w:vertAlign w:val="superscript"/>
        </w:rPr>
        <w:t>a</w:t>
      </w:r>
      <w:r w:rsidRPr="000A6D36">
        <w:t>, Rodrigo L. Castillo </w:t>
      </w:r>
      <w:r w:rsidRPr="000A6D36">
        <w:rPr>
          <w:vertAlign w:val="superscript"/>
        </w:rPr>
        <w:t>b</w:t>
      </w:r>
      <w:r w:rsidRPr="000A6D36">
        <w:t>, Viviana Noriega </w:t>
      </w:r>
      <w:r w:rsidRPr="000A6D36">
        <w:rPr>
          <w:vertAlign w:val="superscript"/>
        </w:rPr>
        <w:t>c</w:t>
      </w:r>
      <w:r w:rsidRPr="000A6D36">
        <w:t>, Juan Carlos Prieto </w:t>
      </w:r>
      <w:r w:rsidRPr="000A6D36">
        <w:rPr>
          <w:vertAlign w:val="superscript"/>
        </w:rPr>
        <w:t>a</w:t>
      </w:r>
      <w:r w:rsidRPr="000A6D36">
        <w:t> </w:t>
      </w:r>
      <w:r w:rsidRPr="000A6D36">
        <w:rPr>
          <w:vertAlign w:val="superscript"/>
        </w:rPr>
        <w:t>c</w:t>
      </w:r>
    </w:p>
    <w:p w14:paraId="4E45D26C" w14:textId="022F4FC5" w:rsidR="000A6D36" w:rsidRDefault="000A6D36">
      <w:pPr>
        <w:widowControl/>
        <w:jc w:val="left"/>
      </w:pPr>
    </w:p>
    <w:p w14:paraId="3603E122" w14:textId="18F7FB4F" w:rsidR="000A6D36" w:rsidRDefault="00A75605" w:rsidP="005D5BA7">
      <w:r>
        <w:rPr>
          <w:rFonts w:hint="eastAsia"/>
        </w:rPr>
        <w:t>7.</w:t>
      </w:r>
      <w:hyperlink r:id="rId48" w:history="1">
        <w:r w:rsidR="00466CEC" w:rsidRPr="00466CEC">
          <w:rPr>
            <w:rStyle w:val="a7"/>
          </w:rPr>
          <w:t>Dopaminergic modulation of neuropathic pain: Analgesia in rats by a D2-type receptor agonist - ScienceDirect</w:t>
        </w:r>
      </w:hyperlink>
    </w:p>
    <w:p w14:paraId="5F3798B2" w14:textId="77777777" w:rsidR="00466CEC" w:rsidRDefault="00466CEC" w:rsidP="005D5BA7"/>
    <w:p w14:paraId="45E1033C" w14:textId="77777777" w:rsidR="00466CEC" w:rsidRPr="00466CEC" w:rsidRDefault="00466CEC" w:rsidP="00466CEC">
      <w:pPr>
        <w:rPr>
          <w:b/>
          <w:bCs/>
        </w:rPr>
      </w:pPr>
      <w:r w:rsidRPr="00466CEC">
        <w:rPr>
          <w:b/>
          <w:bCs/>
        </w:rPr>
        <w:t>Dopaminergic modulation of neuropathic pain: Analgesia in rats by a D2-type receptor agonist</w:t>
      </w:r>
    </w:p>
    <w:p w14:paraId="6445FB99" w14:textId="77777777" w:rsidR="00466CEC" w:rsidRDefault="00466CEC" w:rsidP="00466CEC">
      <w:r w:rsidRPr="00466CEC">
        <w:t xml:space="preserve">Author links open overlay </w:t>
      </w:r>
      <w:proofErr w:type="spellStart"/>
      <w:r w:rsidRPr="00466CEC">
        <w:t>panelNuria</w:t>
      </w:r>
      <w:proofErr w:type="spellEnd"/>
      <w:r w:rsidRPr="00466CEC">
        <w:t> </w:t>
      </w:r>
      <w:proofErr w:type="spellStart"/>
      <w:r w:rsidRPr="00466CEC">
        <w:t>Cobacho</w:t>
      </w:r>
      <w:proofErr w:type="spellEnd"/>
      <w:r w:rsidRPr="00466CEC">
        <w:t> </w:t>
      </w:r>
      <w:r w:rsidRPr="00466CEC">
        <w:rPr>
          <w:vertAlign w:val="superscript"/>
        </w:rPr>
        <w:t>a</w:t>
      </w:r>
      <w:r w:rsidRPr="00466CEC">
        <w:t>, José Luis de la Calle </w:t>
      </w:r>
      <w:r w:rsidRPr="00466CEC">
        <w:rPr>
          <w:vertAlign w:val="superscript"/>
        </w:rPr>
        <w:t>b</w:t>
      </w:r>
      <w:r w:rsidRPr="00466CEC">
        <w:t>, Carlos Luis </w:t>
      </w:r>
      <w:proofErr w:type="spellStart"/>
      <w:r w:rsidRPr="00466CEC">
        <w:t>Paíno</w:t>
      </w:r>
      <w:proofErr w:type="spellEnd"/>
    </w:p>
    <w:p w14:paraId="54728D1A" w14:textId="16381585" w:rsidR="00017871" w:rsidRDefault="00017871" w:rsidP="005D5BA7">
      <w:r>
        <w:rPr>
          <w:rFonts w:hint="eastAsia"/>
          <w:noProof/>
        </w:rPr>
        <w:drawing>
          <wp:inline distT="0" distB="0" distL="0" distR="0" wp14:anchorId="57809C3E" wp14:editId="43B8739D">
            <wp:extent cx="5943600" cy="3295650"/>
            <wp:effectExtent l="0" t="0" r="0" b="0"/>
            <wp:docPr id="20665007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295650"/>
                    </a:xfrm>
                    <a:prstGeom prst="rect">
                      <a:avLst/>
                    </a:prstGeom>
                    <a:noFill/>
                  </pic:spPr>
                </pic:pic>
              </a:graphicData>
            </a:graphic>
          </wp:inline>
        </w:drawing>
      </w:r>
    </w:p>
    <w:p w14:paraId="5A04414C" w14:textId="3A8DFDBB" w:rsidR="00017871" w:rsidRDefault="00017871" w:rsidP="005D5BA7">
      <w:pPr>
        <w:rPr>
          <w:vertAlign w:val="superscript"/>
        </w:rPr>
      </w:pPr>
      <w:r w:rsidRPr="00017871">
        <w:t>Time course of the effects of systemic quinpirole (</w:t>
      </w:r>
      <w:proofErr w:type="spellStart"/>
      <w:r w:rsidRPr="00017871">
        <w:t>i.p.</w:t>
      </w:r>
      <w:proofErr w:type="spellEnd"/>
      <w:r w:rsidRPr="00017871">
        <w:t xml:space="preserve">) on limb withdrawal responses to cold and tactile stimuli at 14 d after CCI of left sciatic nerve. Thicker horizontal lines represent medians, box plots extend from first to third quartiles, and whiskers are drawn following Tukey's criterion. Asterisks (*) represent statistical significance of the differences with respect to pre-injection values; squares (#) represent the lowest statistical significance with respect to </w:t>
      </w:r>
      <w:proofErr w:type="gramStart"/>
      <w:r w:rsidRPr="00017871">
        <w:t>20, 90 and 180 min</w:t>
      </w:r>
      <w:proofErr w:type="gramEnd"/>
      <w:r w:rsidRPr="00017871">
        <w:t xml:space="preserve"> value; cross (+) represents significant differences with respect to the 20 min post-injection values, but not to later time points (Bonferroni's-corrected Wilcoxon test: *** and </w:t>
      </w:r>
      <w:r w:rsidRPr="00017871">
        <w:rPr>
          <w:i/>
          <w:iCs/>
        </w:rPr>
        <w:t>p</w:t>
      </w:r>
      <w:r w:rsidRPr="00017871">
        <w:t> &lt; 0.001; ** and </w:t>
      </w:r>
      <w:r w:rsidRPr="00017871">
        <w:rPr>
          <w:i/>
          <w:iCs/>
        </w:rPr>
        <w:t>p</w:t>
      </w:r>
      <w:r w:rsidRPr="00017871">
        <w:t> &lt; 0.01; *, and </w:t>
      </w:r>
      <w:r w:rsidRPr="00017871">
        <w:rPr>
          <w:i/>
          <w:iCs/>
        </w:rPr>
        <w:t>p</w:t>
      </w:r>
      <w:r w:rsidRPr="00017871">
        <w:t> &lt; 0.05). ANOVA analysis (Friedman test) significance </w:t>
      </w:r>
      <w:r w:rsidRPr="00017871">
        <w:rPr>
          <w:i/>
          <w:iCs/>
        </w:rPr>
        <w:t>p</w:t>
      </w:r>
      <w:r w:rsidRPr="00017871">
        <w:t> values appear under their respective graphs. </w:t>
      </w:r>
      <w:r w:rsidRPr="00017871">
        <w:rPr>
          <w:i/>
          <w:iCs/>
        </w:rPr>
        <w:t>n</w:t>
      </w:r>
      <w:r w:rsidRPr="00017871">
        <w:t xml:space="preserve"> = 12 </w:t>
      </w:r>
      <w:proofErr w:type="gramStart"/>
      <w:r w:rsidRPr="00017871">
        <w:t>animals.</w:t>
      </w:r>
      <w:r w:rsidRPr="00017871">
        <w:rPr>
          <w:vertAlign w:val="superscript"/>
        </w:rPr>
        <w:t>#</w:t>
      </w:r>
      <w:proofErr w:type="gramEnd"/>
      <w:r w:rsidRPr="00017871">
        <w:rPr>
          <w:vertAlign w:val="superscript"/>
        </w:rPr>
        <w:t>#####+</w:t>
      </w:r>
    </w:p>
    <w:p w14:paraId="4684651F" w14:textId="77777777" w:rsidR="00017871" w:rsidRDefault="00017871" w:rsidP="005D5BA7">
      <w:pPr>
        <w:rPr>
          <w:vertAlign w:val="superscript"/>
        </w:rPr>
      </w:pPr>
    </w:p>
    <w:p w14:paraId="7FE71155" w14:textId="70640C61" w:rsidR="00017871" w:rsidRDefault="00017871" w:rsidP="005D5BA7">
      <w:r>
        <w:rPr>
          <w:rFonts w:hint="eastAsia"/>
          <w:noProof/>
        </w:rPr>
        <w:lastRenderedPageBreak/>
        <w:drawing>
          <wp:inline distT="0" distB="0" distL="0" distR="0" wp14:anchorId="3079F58E" wp14:editId="3D7298FE">
            <wp:extent cx="3257550" cy="2409825"/>
            <wp:effectExtent l="0" t="0" r="0" b="9525"/>
            <wp:docPr id="212626647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57550" cy="2409825"/>
                    </a:xfrm>
                    <a:prstGeom prst="rect">
                      <a:avLst/>
                    </a:prstGeom>
                    <a:noFill/>
                  </pic:spPr>
                </pic:pic>
              </a:graphicData>
            </a:graphic>
          </wp:inline>
        </w:drawing>
      </w:r>
    </w:p>
    <w:p w14:paraId="003CB35E" w14:textId="75830481" w:rsidR="00017871" w:rsidRDefault="00017871" w:rsidP="005D5BA7">
      <w:r w:rsidRPr="00017871">
        <w:t xml:space="preserve"> Nociceptive response to thermal pain in normal rats at different times after a single </w:t>
      </w:r>
      <w:proofErr w:type="spellStart"/>
      <w:r w:rsidRPr="00017871">
        <w:t>i.p.</w:t>
      </w:r>
      <w:proofErr w:type="spellEnd"/>
      <w:r w:rsidRPr="00017871">
        <w:t xml:space="preserve"> injection of 1 mg/kg quinpirole or vehicle (control). Data represent the withdrawal latencies (means ± SD) to an infrared beam focused on the mid-plantar surface at different times after injection (</w:t>
      </w:r>
      <w:r w:rsidRPr="00017871">
        <w:rPr>
          <w:i/>
          <w:iCs/>
        </w:rPr>
        <w:t>n</w:t>
      </w:r>
      <w:r w:rsidRPr="00017871">
        <w:t> = 10 per group). </w:t>
      </w:r>
      <w:r w:rsidRPr="00017871">
        <w:rPr>
          <w:i/>
          <w:iCs/>
        </w:rPr>
        <w:t>pre</w:t>
      </w:r>
      <w:r w:rsidRPr="00017871">
        <w:t>: pre-injection values. Asterisk (*) represents statistical difference (Bonferroni's multiple comparisons test, </w:t>
      </w:r>
      <w:r w:rsidRPr="00017871">
        <w:rPr>
          <w:i/>
          <w:iCs/>
        </w:rPr>
        <w:t>p</w:t>
      </w:r>
      <w:r w:rsidRPr="00017871">
        <w:t> &lt; 0.05). Two-way ANOVA showed significant effect of “time” factor (</w:t>
      </w:r>
      <w:r w:rsidRPr="00017871">
        <w:rPr>
          <w:i/>
          <w:iCs/>
        </w:rPr>
        <w:t>p</w:t>
      </w:r>
      <w:r w:rsidRPr="00017871">
        <w:t> &lt; 0.05), but did not find a significant effect of “column factor” or interaction of “time” with “column factor”.</w:t>
      </w:r>
    </w:p>
    <w:p w14:paraId="52498433" w14:textId="77777777" w:rsidR="00017871" w:rsidRDefault="00017871" w:rsidP="005D5BA7"/>
    <w:p w14:paraId="59EBF7A4" w14:textId="085CED57" w:rsidR="00017871" w:rsidRDefault="00017871" w:rsidP="005D5BA7">
      <w:r>
        <w:rPr>
          <w:rFonts w:hint="eastAsia"/>
          <w:noProof/>
        </w:rPr>
        <w:drawing>
          <wp:inline distT="0" distB="0" distL="0" distR="0" wp14:anchorId="2C54F0DE" wp14:editId="4A93874A">
            <wp:extent cx="3877056" cy="4178300"/>
            <wp:effectExtent l="0" t="0" r="9525" b="0"/>
            <wp:docPr id="83056627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86614" cy="4188601"/>
                    </a:xfrm>
                    <a:prstGeom prst="rect">
                      <a:avLst/>
                    </a:prstGeom>
                    <a:noFill/>
                  </pic:spPr>
                </pic:pic>
              </a:graphicData>
            </a:graphic>
          </wp:inline>
        </w:drawing>
      </w:r>
    </w:p>
    <w:p w14:paraId="33DAC448" w14:textId="6EF69A9A" w:rsidR="00017871" w:rsidRDefault="00017871" w:rsidP="005D5BA7">
      <w:r w:rsidRPr="00017871">
        <w:t xml:space="preserve">Time course of the effects of intrathecal (i.t.) quinpirole on limb withdrawal responses to cold </w:t>
      </w:r>
      <w:r w:rsidRPr="00017871">
        <w:lastRenderedPageBreak/>
        <w:t>(left column) and tactile (right column) stimuli. Thicker horizontal lines represent medians, box plots extend from first to third quartiles, and whiskers are drawn following Tukey's criterion. Values represent pre-injection (“pre”) and different post-injection time responses of rats receiving vehicle (</w:t>
      </w:r>
      <w:r w:rsidRPr="00017871">
        <w:rPr>
          <w:i/>
          <w:iCs/>
        </w:rPr>
        <w:t>n</w:t>
      </w:r>
      <w:r w:rsidRPr="00017871">
        <w:t> = 17), 10 nmol quinpirole (</w:t>
      </w:r>
      <w:r w:rsidRPr="00017871">
        <w:rPr>
          <w:i/>
          <w:iCs/>
        </w:rPr>
        <w:t>n</w:t>
      </w:r>
      <w:r w:rsidRPr="00017871">
        <w:t> = 16) or 50 nmol quinpirole (</w:t>
      </w:r>
      <w:r w:rsidRPr="00017871">
        <w:rPr>
          <w:i/>
          <w:iCs/>
        </w:rPr>
        <w:t>n</w:t>
      </w:r>
      <w:r w:rsidRPr="00017871">
        <w:t> = 18). For clarity, only statistical differences with respect to pre-injection values are represented (Bonferroni's-corrected Wilcoxon test: ***</w:t>
      </w:r>
      <w:r w:rsidRPr="00017871">
        <w:rPr>
          <w:i/>
          <w:iCs/>
        </w:rPr>
        <w:t>p</w:t>
      </w:r>
      <w:r w:rsidRPr="00017871">
        <w:t> &lt; 0.001, **</w:t>
      </w:r>
      <w:r w:rsidRPr="00017871">
        <w:rPr>
          <w:i/>
          <w:iCs/>
        </w:rPr>
        <w:t>p</w:t>
      </w:r>
      <w:r w:rsidRPr="00017871">
        <w:t> &lt; 0.01 and *</w:t>
      </w:r>
      <w:r w:rsidRPr="00017871">
        <w:rPr>
          <w:i/>
          <w:iCs/>
        </w:rPr>
        <w:t>p</w:t>
      </w:r>
      <w:r w:rsidRPr="00017871">
        <w:t> &lt; 0.05). ANOVA analysis (Friedman test) significance </w:t>
      </w:r>
      <w:r w:rsidRPr="00017871">
        <w:rPr>
          <w:i/>
          <w:iCs/>
        </w:rPr>
        <w:t>p</w:t>
      </w:r>
      <w:r w:rsidRPr="00017871">
        <w:t> values appear under their respective graphs.</w:t>
      </w:r>
    </w:p>
    <w:p w14:paraId="59E8B78B" w14:textId="77777777" w:rsidR="00017871" w:rsidRDefault="00017871" w:rsidP="005D5BA7"/>
    <w:p w14:paraId="69C82E33" w14:textId="385E5EB8" w:rsidR="00017871" w:rsidRDefault="00017871" w:rsidP="005D5BA7">
      <w:r>
        <w:rPr>
          <w:rFonts w:hint="eastAsia"/>
          <w:noProof/>
        </w:rPr>
        <w:drawing>
          <wp:inline distT="0" distB="0" distL="0" distR="0" wp14:anchorId="40BE8F29" wp14:editId="1A93EFAC">
            <wp:extent cx="5819775" cy="6029325"/>
            <wp:effectExtent l="0" t="0" r="9525" b="9525"/>
            <wp:docPr id="118233738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19775" cy="6029325"/>
                    </a:xfrm>
                    <a:prstGeom prst="rect">
                      <a:avLst/>
                    </a:prstGeom>
                    <a:noFill/>
                  </pic:spPr>
                </pic:pic>
              </a:graphicData>
            </a:graphic>
          </wp:inline>
        </w:drawing>
      </w:r>
    </w:p>
    <w:p w14:paraId="208D2C76" w14:textId="656542B0" w:rsidR="00017871" w:rsidRDefault="00017871" w:rsidP="005D5BA7">
      <w:pPr>
        <w:rPr>
          <w:vertAlign w:val="superscript"/>
        </w:rPr>
      </w:pPr>
      <w:r w:rsidRPr="00017871">
        <w:t> Effect of chronically infused quinpirole on limb withdrawal responses to cold and tactile stimuli. Upper graph: values from animals which were sham-implanted, as controls of the variability of rat responses along time. Lower graph: values from animals receiving 0.025 mg</w:t>
      </w:r>
      <w:proofErr w:type="gramStart"/>
      <w:r w:rsidRPr="00017871">
        <w:t>/(</w:t>
      </w:r>
      <w:proofErr w:type="gramEnd"/>
      <w:r w:rsidRPr="00017871">
        <w:t xml:space="preserve">kg h) quinpirole </w:t>
      </w:r>
      <w:proofErr w:type="spellStart"/>
      <w:r w:rsidRPr="00017871">
        <w:t>s.c.</w:t>
      </w:r>
      <w:proofErr w:type="spellEnd"/>
      <w:r w:rsidRPr="00017871">
        <w:t xml:space="preserve">, for 7 days by an implanted ALZET minipump. The graphs represent tests performed previously (“pre”) to minipump or sham pump implantation (14 </w:t>
      </w:r>
      <w:r w:rsidRPr="00017871">
        <w:lastRenderedPageBreak/>
        <w:t>days after CCI), at 24 h, 72 h and 7 d after implantation, and at 24 h and at 72 h post-pump (or sham pump) removal (“24 h post” and “72 h post”). The shaded area represents the period when quinpirole was being infused, between pump implantation and removal. Thicker horizontal lines represent medians, box plots extend from first to third quartiles, and whiskers are drawn following Tukey's criterion. Tests: Bonferroni's-corrected Wilcoxon test: **</w:t>
      </w:r>
      <w:r w:rsidRPr="00017871">
        <w:rPr>
          <w:i/>
          <w:iCs/>
        </w:rPr>
        <w:t>p</w:t>
      </w:r>
      <w:r w:rsidRPr="00017871">
        <w:t> &lt; 0.01; *</w:t>
      </w:r>
      <w:r w:rsidRPr="00017871">
        <w:rPr>
          <w:i/>
          <w:iCs/>
        </w:rPr>
        <w:t>p</w:t>
      </w:r>
      <w:r w:rsidRPr="00017871">
        <w:t> &lt; 0.05 with respect to pre-implantation values; </w:t>
      </w:r>
      <w:r w:rsidRPr="00017871">
        <w:rPr>
          <w:i/>
          <w:iCs/>
        </w:rPr>
        <w:t>p</w:t>
      </w:r>
      <w:r w:rsidRPr="00017871">
        <w:t> &lt; 0.05 with respect to 7 d values (just before pump removal). ANOVA analysis (Friedman test) significance </w:t>
      </w:r>
      <w:r w:rsidRPr="00017871">
        <w:rPr>
          <w:i/>
          <w:iCs/>
        </w:rPr>
        <w:t>p</w:t>
      </w:r>
      <w:r w:rsidRPr="00017871">
        <w:t> values appear under their respective graphs (“</w:t>
      </w:r>
      <w:proofErr w:type="spellStart"/>
      <w:r w:rsidRPr="00017871">
        <w:t>n.s</w:t>
      </w:r>
      <w:proofErr w:type="spellEnd"/>
      <w:r w:rsidRPr="00017871">
        <w:t xml:space="preserve">.”: </w:t>
      </w:r>
      <w:proofErr w:type="spellStart"/>
      <w:r w:rsidRPr="00017871">
        <w:t>non significant</w:t>
      </w:r>
      <w:proofErr w:type="spellEnd"/>
      <w:r w:rsidRPr="00017871">
        <w:t xml:space="preserve"> differences). </w:t>
      </w:r>
      <w:r w:rsidRPr="00017871">
        <w:rPr>
          <w:i/>
          <w:iCs/>
        </w:rPr>
        <w:t>n</w:t>
      </w:r>
      <w:r w:rsidRPr="00017871">
        <w:t xml:space="preserve"> = 14 quinpirole-treated animals and 15 control </w:t>
      </w:r>
      <w:proofErr w:type="gramStart"/>
      <w:r w:rsidRPr="00017871">
        <w:t>animals.</w:t>
      </w:r>
      <w:r w:rsidRPr="00017871">
        <w:rPr>
          <w:vertAlign w:val="superscript"/>
        </w:rPr>
        <w:t>#</w:t>
      </w:r>
      <w:proofErr w:type="gramEnd"/>
    </w:p>
    <w:p w14:paraId="2B3E163B" w14:textId="77777777" w:rsidR="00017871" w:rsidRDefault="00017871" w:rsidP="005D5BA7">
      <w:pPr>
        <w:rPr>
          <w:vertAlign w:val="superscript"/>
        </w:rPr>
      </w:pPr>
    </w:p>
    <w:p w14:paraId="5B2E0547" w14:textId="77777777" w:rsidR="00017871" w:rsidRDefault="00017871" w:rsidP="005D5BA7">
      <w:pPr>
        <w:rPr>
          <w:vertAlign w:val="superscript"/>
        </w:rPr>
      </w:pPr>
    </w:p>
    <w:p w14:paraId="3507BDC4" w14:textId="77777777" w:rsidR="00017871" w:rsidRPr="00017871" w:rsidRDefault="00017871" w:rsidP="00017871">
      <w:r w:rsidRPr="00017871">
        <w:t>2.3. Pain tests</w:t>
      </w:r>
    </w:p>
    <w:p w14:paraId="0507C81F" w14:textId="77777777" w:rsidR="00017871" w:rsidRPr="00017871" w:rsidRDefault="00017871" w:rsidP="00017871">
      <w:r w:rsidRPr="00017871">
        <w:t>Rats were tested for both tactile and cold allodynia. Basal measurements were performed before any surgery, so as to discard animals that showed to be hyper-reactive to the tests. Post-CCI measurements were performed at 14 days after surgery and only rats showing either a tactile withdrawal response below 4 g or a withdrawal response time to cold above 4 s in the CCI limb were used for experiments. For behavioral tests, the animals were placed in transparent square cages (17 cm × 22 cm × 14 cm) with a grid bottom made of 7 mm wire mesh. The rats were allowed to accommodate to the cage for at least 10 min. The stimuli were applied from the bottom and the response was observed with the help of a mirror. Tactile tests for both limbs were performed first, followed by cold tests, with a 2 min separation between them. The rats were then returned to their home cages until the next test.</w:t>
      </w:r>
    </w:p>
    <w:p w14:paraId="1694FE6B" w14:textId="77777777" w:rsidR="00017871" w:rsidRPr="00017871" w:rsidRDefault="00017871" w:rsidP="00017871">
      <w:r w:rsidRPr="00017871">
        <w:t>2.3.1. Tactile allodynia</w:t>
      </w:r>
    </w:p>
    <w:p w14:paraId="6CF10857" w14:textId="77777777" w:rsidR="00017871" w:rsidRPr="00017871" w:rsidRDefault="00017871" w:rsidP="00017871">
      <w:r w:rsidRPr="00017871">
        <w:t>Tactile allodynia was assessed by estimating the threshold for leg withdrawal in response to the mid-plantar application of von Frey nylon calibrated monofilaments as proposed by </w:t>
      </w:r>
      <w:bookmarkStart w:id="0" w:name="bbib0045"/>
      <w:proofErr w:type="spellStart"/>
      <w:r w:rsidRPr="00017871">
        <w:rPr>
          <w:rFonts w:hint="eastAsia"/>
        </w:rPr>
        <w:fldChar w:fldCharType="begin"/>
      </w:r>
      <w:r w:rsidRPr="00017871">
        <w:rPr>
          <w:rFonts w:hint="eastAsia"/>
        </w:rPr>
        <w:instrText>HYPERLINK "https://www.sciencedirect.com/science/article/pii/S0361923014001002" \l "bib0045"</w:instrText>
      </w:r>
      <w:r w:rsidRPr="00017871">
        <w:rPr>
          <w:rFonts w:hint="eastAsia"/>
        </w:rPr>
        <w:fldChar w:fldCharType="separate"/>
      </w:r>
      <w:r w:rsidRPr="00017871">
        <w:rPr>
          <w:rStyle w:val="a7"/>
        </w:rPr>
        <w:t>Chaplan</w:t>
      </w:r>
      <w:proofErr w:type="spellEnd"/>
      <w:r w:rsidRPr="00017871">
        <w:rPr>
          <w:rStyle w:val="a7"/>
        </w:rPr>
        <w:t xml:space="preserve"> et al. (1994)</w:t>
      </w:r>
      <w:r w:rsidRPr="00017871">
        <w:rPr>
          <w:rFonts w:hint="eastAsia"/>
        </w:rPr>
        <w:fldChar w:fldCharType="end"/>
      </w:r>
      <w:bookmarkEnd w:id="0"/>
      <w:r w:rsidRPr="00017871">
        <w:t>. The sequence of filament strengths was 0.4, 0.6, 1, 2, 4, 6, 8 and 15 g. The withdrawal threshold was calculated by the “up and down” method of </w:t>
      </w:r>
      <w:bookmarkStart w:id="1" w:name="bbib0070"/>
      <w:r w:rsidRPr="00017871">
        <w:rPr>
          <w:rFonts w:hint="eastAsia"/>
        </w:rPr>
        <w:fldChar w:fldCharType="begin"/>
      </w:r>
      <w:r w:rsidRPr="00017871">
        <w:rPr>
          <w:rFonts w:hint="eastAsia"/>
        </w:rPr>
        <w:instrText>HYPERLINK "https://www.sciencedirect.com/science/article/pii/S0361923014001002" \l "bib0070"</w:instrText>
      </w:r>
      <w:r w:rsidRPr="00017871">
        <w:rPr>
          <w:rFonts w:hint="eastAsia"/>
        </w:rPr>
        <w:fldChar w:fldCharType="separate"/>
      </w:r>
      <w:r w:rsidRPr="00017871">
        <w:rPr>
          <w:rStyle w:val="a7"/>
        </w:rPr>
        <w:t>Dixon (1980)</w:t>
      </w:r>
      <w:r w:rsidRPr="00017871">
        <w:rPr>
          <w:rFonts w:hint="eastAsia"/>
        </w:rPr>
        <w:fldChar w:fldCharType="end"/>
      </w:r>
      <w:bookmarkEnd w:id="1"/>
      <w:r w:rsidRPr="00017871">
        <w:t>, starting with a filament strength of 2 g and changing to a higher strength if there was no reaction during a 6 s application or to a lower strength if the rat had lifted the paw in that period. The test was stopped when five filaments had been tested after the first change of direction or if the test limits (0.4 or 15 g) had been reached. The test was recorded as a series of “O” (when there was no response) or “X” (when there was a lifting response) and that record was compared with the Dixon's table to obtain a value (D</w:t>
      </w:r>
      <w:r w:rsidRPr="00017871">
        <w:rPr>
          <w:vertAlign w:val="subscript"/>
        </w:rPr>
        <w:t>50</w:t>
      </w:r>
      <w:r w:rsidRPr="00017871">
        <w:t xml:space="preserve">) that could be translated into the estimated withdrawal threshold, following the </w:t>
      </w:r>
      <w:proofErr w:type="spellStart"/>
      <w:r w:rsidRPr="00017871">
        <w:t>formula:Threshold</w:t>
      </w:r>
      <w:proofErr w:type="spellEnd"/>
      <w:r w:rsidRPr="00017871">
        <w:t>(in g)=10(</w:t>
      </w:r>
      <w:proofErr w:type="spellStart"/>
      <w:r w:rsidRPr="00017871">
        <w:t>Xf+kδ</w:t>
      </w:r>
      <w:proofErr w:type="spellEnd"/>
      <w:r w:rsidRPr="00017871">
        <w:t xml:space="preserve">)10,000where </w:t>
      </w:r>
      <w:proofErr w:type="spellStart"/>
      <w:r w:rsidRPr="00017871">
        <w:t>Xf</w:t>
      </w:r>
      <w:proofErr w:type="spellEnd"/>
      <w:r w:rsidRPr="00017871">
        <w:t xml:space="preserve"> is the value (in log units) of the final von Frey filament used; </w:t>
      </w:r>
      <w:r w:rsidRPr="00017871">
        <w:rPr>
          <w:i/>
          <w:iCs/>
        </w:rPr>
        <w:t>k</w:t>
      </w:r>
      <w:r w:rsidRPr="00017871">
        <w:t> is Dixon's tabular value for pattern of positive/negative responses; and </w:t>
      </w:r>
      <w:r w:rsidRPr="00017871">
        <w:rPr>
          <w:i/>
          <w:iCs/>
        </w:rPr>
        <w:t>δ</w:t>
      </w:r>
      <w:r w:rsidRPr="00017871">
        <w:t> is the mean difference (in log units) between stimuli (here 0.224).</w:t>
      </w:r>
    </w:p>
    <w:p w14:paraId="75D9D7A8" w14:textId="77777777" w:rsidR="00017871" w:rsidRPr="00017871" w:rsidRDefault="00017871" w:rsidP="00017871">
      <w:r w:rsidRPr="00017871">
        <w:t>2.3.2. Cold allodynia</w:t>
      </w:r>
    </w:p>
    <w:p w14:paraId="41333128" w14:textId="77777777" w:rsidR="00017871" w:rsidRPr="00017871" w:rsidRDefault="00017871" w:rsidP="00017871">
      <w:r w:rsidRPr="00017871">
        <w:t>Cold allodynia was assessed by the duration of the paw lifting response during the first minute after spraying 0.5 ml acetone to the foot with the help of a syringe and a blunt needle. Acetone evaporation produces an innocuous cooling of the paw that is felt as painful only in a neuropathic limb so the animal lifts that leg one or more times as a withdrawal response to pain. The total time spent by the rat with the limb raised from the floor during the first minute thus provides a measurement of perceived pain.</w:t>
      </w:r>
    </w:p>
    <w:p w14:paraId="63F19F60" w14:textId="77777777" w:rsidR="00017871" w:rsidRPr="00017871" w:rsidRDefault="00017871" w:rsidP="00017871">
      <w:r w:rsidRPr="00017871">
        <w:lastRenderedPageBreak/>
        <w:t>2.3.3. Thermal nociception</w:t>
      </w:r>
    </w:p>
    <w:p w14:paraId="477C0988" w14:textId="77777777" w:rsidR="00017871" w:rsidRPr="00017871" w:rsidRDefault="00017871" w:rsidP="00017871">
      <w:r w:rsidRPr="00017871">
        <w:t>Thermal </w:t>
      </w:r>
      <w:hyperlink r:id="rId53" w:tooltip="Learn more about nociception from ScienceDirect's AI-generated Topic Pages" w:history="1">
        <w:r w:rsidRPr="00017871">
          <w:rPr>
            <w:rStyle w:val="a7"/>
          </w:rPr>
          <w:t>nociception</w:t>
        </w:r>
      </w:hyperlink>
      <w:r w:rsidRPr="00017871">
        <w:t> was assessed by the Hargreaves’ method (</w:t>
      </w:r>
      <w:bookmarkStart w:id="2" w:name="bbib0120"/>
      <w:r w:rsidRPr="00017871">
        <w:rPr>
          <w:rFonts w:hint="eastAsia"/>
        </w:rPr>
        <w:fldChar w:fldCharType="begin"/>
      </w:r>
      <w:r w:rsidRPr="00017871">
        <w:rPr>
          <w:rFonts w:hint="eastAsia"/>
        </w:rPr>
        <w:instrText>HYPERLINK "https://www.sciencedirect.com/science/article/pii/S0361923014001002" \l "bib0120"</w:instrText>
      </w:r>
      <w:r w:rsidRPr="00017871">
        <w:rPr>
          <w:rFonts w:hint="eastAsia"/>
        </w:rPr>
        <w:fldChar w:fldCharType="separate"/>
      </w:r>
      <w:r w:rsidRPr="00017871">
        <w:rPr>
          <w:rStyle w:val="a7"/>
        </w:rPr>
        <w:t>Hargreaves et al., 1988</w:t>
      </w:r>
      <w:r w:rsidRPr="00017871">
        <w:rPr>
          <w:rFonts w:hint="eastAsia"/>
        </w:rPr>
        <w:fldChar w:fldCharType="end"/>
      </w:r>
      <w:bookmarkEnd w:id="2"/>
      <w:r w:rsidRPr="00017871">
        <w:t xml:space="preserve">) that measures the foot withdrawal latency to increasing heat produced by an infrared light beam focused to the mid-plantar surface. Twenty naïve rats were numbered and placed in the testing cages, as above, but this time on a glass floor, and assayed using the “plantar test” apparatus (Ugo Basile, Italy) that automatically scores the time between the starting of irradiation and the paw withdrawal. Both feet were tested for each rat, 1 min apart. Then, the rats were randomly assigned to a treatment group and </w:t>
      </w:r>
      <w:proofErr w:type="spellStart"/>
      <w:r w:rsidRPr="00017871">
        <w:t>i.p</w:t>
      </w:r>
      <w:proofErr w:type="spellEnd"/>
      <w:r w:rsidRPr="00017871">
        <w:t xml:space="preserve"> injected with either 1 mg/kg quinpirole or vehicle. The rats then tested for thermal nociception in both feet, as above, at 15, 90, 180 and 360 min, and at 24 and 48 h.</w:t>
      </w:r>
    </w:p>
    <w:p w14:paraId="3C3F20D1" w14:textId="3DD0CB09" w:rsidR="00017871" w:rsidRDefault="00017871">
      <w:pPr>
        <w:widowControl/>
        <w:jc w:val="left"/>
      </w:pPr>
      <w:r>
        <w:rPr>
          <w:rFonts w:hint="eastAsia"/>
        </w:rPr>
        <w:br w:type="page"/>
      </w:r>
    </w:p>
    <w:p w14:paraId="0E09F901" w14:textId="0A859025" w:rsidR="00017871" w:rsidRDefault="00A75605" w:rsidP="005D5BA7">
      <w:r>
        <w:rPr>
          <w:rFonts w:hint="eastAsia"/>
        </w:rPr>
        <w:lastRenderedPageBreak/>
        <w:t>8.</w:t>
      </w:r>
      <w:hyperlink r:id="rId54" w:history="1">
        <w:r w:rsidR="0048023A" w:rsidRPr="0048023A">
          <w:rPr>
            <w:rStyle w:val="a7"/>
          </w:rPr>
          <w:t>Curcumin slows osteoarthritis progression and relieves osteoarthritis-associated pain symptoms in a post-traumatic osteoarthritis mouse model | Arthritis Research &amp; Therapy | Full Text</w:t>
        </w:r>
      </w:hyperlink>
    </w:p>
    <w:p w14:paraId="1AC5C08F" w14:textId="77777777" w:rsidR="0048023A" w:rsidRDefault="0048023A" w:rsidP="005D5BA7"/>
    <w:p w14:paraId="4032A2F3" w14:textId="77777777" w:rsidR="0048023A" w:rsidRPr="0048023A" w:rsidRDefault="0048023A" w:rsidP="0048023A">
      <w:pPr>
        <w:rPr>
          <w:b/>
          <w:bCs/>
        </w:rPr>
      </w:pPr>
      <w:r w:rsidRPr="0048023A">
        <w:rPr>
          <w:rFonts w:hint="eastAsia"/>
          <w:b/>
          <w:bCs/>
        </w:rPr>
        <w:t>Curcumin slows osteoarthritis progression and relieves osteoarthritis-associated pain symptoms in a post-traumatic osteoarthritis mouse model</w:t>
      </w:r>
    </w:p>
    <w:p w14:paraId="4BCE9FDF" w14:textId="71A2199E" w:rsidR="0048023A" w:rsidRDefault="0048023A" w:rsidP="0048023A">
      <w:proofErr w:type="spellStart"/>
      <w:r>
        <w:rPr>
          <w:rFonts w:hint="eastAsia"/>
        </w:rPr>
        <w:t>Zhuo</w:t>
      </w:r>
      <w:proofErr w:type="spellEnd"/>
      <w:r>
        <w:rPr>
          <w:rFonts w:hint="eastAsia"/>
        </w:rPr>
        <w:t xml:space="preserve"> Zhang, Daniel J. Leong, Lin Xu, </w:t>
      </w:r>
      <w:proofErr w:type="spellStart"/>
      <w:r>
        <w:rPr>
          <w:rFonts w:hint="eastAsia"/>
        </w:rPr>
        <w:t>Zhiyong</w:t>
      </w:r>
      <w:proofErr w:type="spellEnd"/>
      <w:r>
        <w:rPr>
          <w:rFonts w:hint="eastAsia"/>
        </w:rPr>
        <w:t xml:space="preserve"> He, Angela Wang, </w:t>
      </w:r>
      <w:proofErr w:type="spellStart"/>
      <w:r>
        <w:rPr>
          <w:rFonts w:hint="eastAsia"/>
        </w:rPr>
        <w:t>Mahantesh</w:t>
      </w:r>
      <w:proofErr w:type="spellEnd"/>
      <w:r>
        <w:rPr>
          <w:rFonts w:hint="eastAsia"/>
        </w:rPr>
        <w:t xml:space="preserve"> </w:t>
      </w:r>
      <w:proofErr w:type="spellStart"/>
      <w:r>
        <w:rPr>
          <w:rFonts w:hint="eastAsia"/>
        </w:rPr>
        <w:t>Navati</w:t>
      </w:r>
      <w:proofErr w:type="spellEnd"/>
      <w:r>
        <w:rPr>
          <w:rFonts w:hint="eastAsia"/>
        </w:rPr>
        <w:t xml:space="preserve">, Sun J. Kim, David M. Hirsh, John A. Hardin, Neil J. </w:t>
      </w:r>
      <w:proofErr w:type="spellStart"/>
      <w:r>
        <w:rPr>
          <w:rFonts w:hint="eastAsia"/>
        </w:rPr>
        <w:t>Cobelli</w:t>
      </w:r>
      <w:proofErr w:type="spellEnd"/>
      <w:r>
        <w:rPr>
          <w:rFonts w:hint="eastAsia"/>
        </w:rPr>
        <w:t>, Joel M. Friedman &amp; Hui B. Sun</w:t>
      </w:r>
    </w:p>
    <w:p w14:paraId="00799DAE" w14:textId="69C222B4" w:rsidR="0048023A" w:rsidRDefault="0048023A" w:rsidP="0048023A">
      <w:r>
        <w:rPr>
          <w:rFonts w:hint="eastAsia"/>
          <w:noProof/>
        </w:rPr>
        <w:drawing>
          <wp:inline distT="0" distB="0" distL="0" distR="0" wp14:anchorId="4CF3E56E" wp14:editId="4AB05538">
            <wp:extent cx="5400675" cy="1676400"/>
            <wp:effectExtent l="0" t="0" r="9525" b="0"/>
            <wp:docPr id="194006054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00675" cy="1676400"/>
                    </a:xfrm>
                    <a:prstGeom prst="rect">
                      <a:avLst/>
                    </a:prstGeom>
                    <a:noFill/>
                  </pic:spPr>
                </pic:pic>
              </a:graphicData>
            </a:graphic>
          </wp:inline>
        </w:drawing>
      </w:r>
    </w:p>
    <w:p w14:paraId="6924937B" w14:textId="77777777" w:rsidR="0048023A" w:rsidRPr="0048023A" w:rsidRDefault="0048023A" w:rsidP="0048023A">
      <w:r w:rsidRPr="0048023A">
        <w:t>Topical application of curcumin nanoparticles reduces osteoarthritis-related pain symptoms. Tactile sensitivity (von Frey testing) (</w:t>
      </w:r>
      <w:r w:rsidRPr="0048023A">
        <w:rPr>
          <w:b/>
          <w:bCs/>
        </w:rPr>
        <w:t>a</w:t>
      </w:r>
      <w:r w:rsidRPr="0048023A">
        <w:t>), and distance traveled (</w:t>
      </w:r>
      <w:r w:rsidRPr="0048023A">
        <w:rPr>
          <w:b/>
          <w:bCs/>
        </w:rPr>
        <w:t>b</w:t>
      </w:r>
      <w:r w:rsidRPr="0048023A">
        <w:t>) and number of times reared (</w:t>
      </w:r>
      <w:r w:rsidRPr="0048023A">
        <w:rPr>
          <w:b/>
          <w:bCs/>
        </w:rPr>
        <w:t>c</w:t>
      </w:r>
      <w:r w:rsidRPr="0048023A">
        <w:t>) per 6 minutes in an open field, in mice with destabilization of the medial meniscus (</w:t>
      </w:r>
      <w:r w:rsidRPr="0048023A">
        <w:rPr>
          <w:i/>
          <w:iCs/>
        </w:rPr>
        <w:t>DMM</w:t>
      </w:r>
      <w:r w:rsidRPr="0048023A">
        <w:t>) treated with curcumin nanoparticles (</w:t>
      </w:r>
      <w:r w:rsidRPr="0048023A">
        <w:rPr>
          <w:i/>
          <w:iCs/>
        </w:rPr>
        <w:t>Nano-C</w:t>
      </w:r>
      <w:r w:rsidRPr="0048023A">
        <w:t>) at 8 weeks after DMM surgery, did not differ from naïve controls (#</w:t>
      </w:r>
      <w:r w:rsidRPr="0048023A">
        <w:rPr>
          <w:i/>
          <w:iCs/>
        </w:rPr>
        <w:t>p</w:t>
      </w:r>
      <w:r w:rsidRPr="0048023A">
        <w:rPr>
          <w:rFonts w:ascii="MS Gothic" w:eastAsia="MS Gothic" w:hAnsi="MS Gothic" w:cs="MS Gothic" w:hint="eastAsia"/>
        </w:rPr>
        <w:t> </w:t>
      </w:r>
      <w:r w:rsidRPr="0048023A">
        <w:t>&gt;</w:t>
      </w:r>
      <w:r w:rsidRPr="0048023A">
        <w:rPr>
          <w:rFonts w:ascii="MS Gothic" w:eastAsia="MS Gothic" w:hAnsi="MS Gothic" w:cs="MS Gothic" w:hint="eastAsia"/>
        </w:rPr>
        <w:t> </w:t>
      </w:r>
      <w:r w:rsidRPr="0048023A">
        <w:t>0.05, one-way analysis of variance (ANOVA) with Tukey post-hoc test, n</w:t>
      </w:r>
      <w:r w:rsidRPr="0048023A">
        <w:rPr>
          <w:rFonts w:ascii="MS Gothic" w:eastAsia="MS Gothic" w:hAnsi="MS Gothic" w:cs="MS Gothic" w:hint="eastAsia"/>
        </w:rPr>
        <w:t> </w:t>
      </w:r>
      <w:r w:rsidRPr="0048023A">
        <w:t>=</w:t>
      </w:r>
      <w:r w:rsidRPr="0048023A">
        <w:rPr>
          <w:rFonts w:ascii="MS Gothic" w:eastAsia="MS Gothic" w:hAnsi="MS Gothic" w:cs="MS Gothic" w:hint="eastAsia"/>
        </w:rPr>
        <w:t> </w:t>
      </w:r>
      <w:r w:rsidRPr="0048023A">
        <w:t>5/group), but had significant improvement compared to mice with DMM treated with vehicle (</w:t>
      </w:r>
      <w:proofErr w:type="spellStart"/>
      <w:r w:rsidRPr="0048023A">
        <w:rPr>
          <w:i/>
          <w:iCs/>
        </w:rPr>
        <w:t>Veh</w:t>
      </w:r>
      <w:proofErr w:type="spellEnd"/>
      <w:r w:rsidRPr="0048023A">
        <w:t>) (*</w:t>
      </w:r>
      <w:r w:rsidRPr="0048023A">
        <w:rPr>
          <w:i/>
          <w:iCs/>
        </w:rPr>
        <w:t>p</w:t>
      </w:r>
      <w:r w:rsidRPr="0048023A">
        <w:rPr>
          <w:rFonts w:ascii="MS Gothic" w:eastAsia="MS Gothic" w:hAnsi="MS Gothic" w:cs="MS Gothic" w:hint="eastAsia"/>
        </w:rPr>
        <w:t> </w:t>
      </w:r>
      <w:r w:rsidRPr="0048023A">
        <w:t>&lt;</w:t>
      </w:r>
      <w:r w:rsidRPr="0048023A">
        <w:rPr>
          <w:rFonts w:ascii="MS Gothic" w:eastAsia="MS Gothic" w:hAnsi="MS Gothic" w:cs="MS Gothic" w:hint="eastAsia"/>
        </w:rPr>
        <w:t> </w:t>
      </w:r>
      <w:r w:rsidRPr="0048023A">
        <w:t>0.05, one-way ANOVA with Tukey post-hoc test, n</w:t>
      </w:r>
      <w:r w:rsidRPr="0048023A">
        <w:rPr>
          <w:rFonts w:ascii="MS Gothic" w:eastAsia="MS Gothic" w:hAnsi="MS Gothic" w:cs="MS Gothic" w:hint="eastAsia"/>
        </w:rPr>
        <w:t> </w:t>
      </w:r>
      <w:r w:rsidRPr="0048023A">
        <w:t>=</w:t>
      </w:r>
      <w:r w:rsidRPr="0048023A">
        <w:rPr>
          <w:rFonts w:ascii="MS Gothic" w:eastAsia="MS Gothic" w:hAnsi="MS Gothic" w:cs="MS Gothic" w:hint="eastAsia"/>
        </w:rPr>
        <w:t> </w:t>
      </w:r>
      <w:r w:rsidRPr="0048023A">
        <w:t>5/group)</w:t>
      </w:r>
    </w:p>
    <w:p w14:paraId="1214490D" w14:textId="667AFB0F" w:rsidR="0048023A" w:rsidRDefault="0048023A" w:rsidP="0048023A"/>
    <w:p w14:paraId="3647581D" w14:textId="77777777" w:rsidR="0048023A" w:rsidRDefault="0048023A" w:rsidP="0048023A"/>
    <w:p w14:paraId="7B4946E7" w14:textId="77777777" w:rsidR="0048023A" w:rsidRPr="0048023A" w:rsidRDefault="0048023A" w:rsidP="0048023A">
      <w:r w:rsidRPr="0048023A">
        <w:t>von Frey testing</w:t>
      </w:r>
    </w:p>
    <w:p w14:paraId="45320AC6" w14:textId="77777777" w:rsidR="0048023A" w:rsidRPr="0048023A" w:rsidRDefault="0048023A" w:rsidP="0048023A">
      <w:r w:rsidRPr="0048023A">
        <w:t>Mice were acclimated for 30 minutes in individual chambers on top of a wire grid platform prior to von Frey testing. The plantar surface of the hind paw was stimulated with ascending force intensities of von Frey filaments (</w:t>
      </w:r>
      <w:proofErr w:type="spellStart"/>
      <w:r w:rsidRPr="0048023A">
        <w:t>Stoelting</w:t>
      </w:r>
      <w:proofErr w:type="spellEnd"/>
      <w:r w:rsidRPr="0048023A">
        <w:t>) to determine tactile sensitivity. A positive response was defined as a rapid withdrawal of the hind paw when the stimulus was applied, and the number of positive responses for each stimulus was recorded. Tactile threshold was defined as a withdrawal response in 5 out of 10 trials to a given stimulus intensity [</w:t>
      </w:r>
      <w:hyperlink r:id="rId56" w:anchor="ref-CR37" w:tooltip="Leong DJ, Choudhury M, Hanstein R, Hirsh DM, Kim SJ, Majeska RJ, et al. Green tea polyphenol treatment is chondroprotective, anti-inflammatory and palliative in a mouse post-traumatic osteoarthritis model. Arthritis Res Ther. 2014;16(6):508." w:history="1">
        <w:r w:rsidRPr="0048023A">
          <w:rPr>
            <w:rStyle w:val="a7"/>
          </w:rPr>
          <w:t>37</w:t>
        </w:r>
      </w:hyperlink>
      <w:r w:rsidRPr="0048023A">
        <w:t>]. This threshold was calculated once per animal.</w:t>
      </w:r>
    </w:p>
    <w:p w14:paraId="2BD41557" w14:textId="77777777" w:rsidR="0048023A" w:rsidRPr="0048023A" w:rsidRDefault="0048023A" w:rsidP="0048023A">
      <w:r w:rsidRPr="0048023A">
        <w:t>Pain and OA-related behavioral tests</w:t>
      </w:r>
    </w:p>
    <w:p w14:paraId="6DF3AB5E" w14:textId="6C13ECCA" w:rsidR="0048023A" w:rsidRDefault="0048023A" w:rsidP="00477C79">
      <w:r w:rsidRPr="0048023A">
        <w:t>As we and others previously described, mice were acclimated to the test room for 30 minutes before open field testing [</w:t>
      </w:r>
      <w:hyperlink r:id="rId57" w:anchor="ref-CR37" w:tooltip="Leong DJ, Choudhury M, Hanstein R, Hirsh DM, Kim SJ, Majeska RJ, et al. Green tea polyphenol treatment is chondroprotective, anti-inflammatory and palliative in a mouse post-traumatic osteoarthritis model. Arthritis Res Ther. 2014;16(6):508." w:history="1">
        <w:r w:rsidRPr="0048023A">
          <w:rPr>
            <w:rStyle w:val="a7"/>
          </w:rPr>
          <w:t>37</w:t>
        </w:r>
      </w:hyperlink>
      <w:r w:rsidRPr="0048023A">
        <w:t>, </w:t>
      </w:r>
      <w:hyperlink r:id="rId58" w:anchor="ref-CR38" w:tooltip="Bailey KR, Crawley JN. Anxiety-Related Behaviors in Mice. In: Buccafusco JJ, editor. Methods of Behavior Analysis in Neuroscience. 2nd edition. Boca Raton (FL): CRC Press/Taylor &amp; Francis; 2009. Chapter 5." w:history="1">
        <w:r w:rsidRPr="0048023A">
          <w:rPr>
            <w:rStyle w:val="a7"/>
          </w:rPr>
          <w:t>38</w:t>
        </w:r>
      </w:hyperlink>
      <w:r w:rsidRPr="0048023A">
        <w:t>]. Mice were placed in the center of individual plexiglass square chambers (45 cm</w:t>
      </w:r>
      <w:r w:rsidRPr="0048023A">
        <w:rPr>
          <w:rFonts w:ascii="MS Gothic" w:eastAsia="MS Gothic" w:hAnsi="MS Gothic" w:cs="MS Gothic" w:hint="eastAsia"/>
        </w:rPr>
        <w:t> </w:t>
      </w:r>
      <w:r w:rsidRPr="0048023A">
        <w:rPr>
          <w:rFonts w:ascii="等线" w:eastAsia="等线" w:hAnsi="等线" w:cs="等线" w:hint="eastAsia"/>
        </w:rPr>
        <w:t>×</w:t>
      </w:r>
      <w:r w:rsidRPr="0048023A">
        <w:rPr>
          <w:rFonts w:ascii="MS Gothic" w:eastAsia="MS Gothic" w:hAnsi="MS Gothic" w:cs="MS Gothic" w:hint="eastAsia"/>
        </w:rPr>
        <w:t> </w:t>
      </w:r>
      <w:r w:rsidRPr="0048023A">
        <w:t>45</w:t>
      </w:r>
      <w:r w:rsidRPr="0048023A">
        <w:rPr>
          <w:rFonts w:ascii="等线" w:eastAsia="等线" w:hAnsi="等线" w:cs="等线" w:hint="eastAsia"/>
        </w:rPr>
        <w:t> </w:t>
      </w:r>
      <w:r w:rsidRPr="0048023A">
        <w:t>cm) and allowed to freely explore the chamber for the duration of the 6-minute test session. The movements of the mice were recorded with a video camera. Upon completion of the test, which was performed once per animal, each mouse was returned to its home cage. Two observers blinded to treatment group assignments manually traced mouse movements to calculate the distance (in cm) that the mouse traveled within the cage in 6 minutes (distance traveled), and recorded the number of times each mouse reared (standing on its hind limbs) within 6 minutes (rearing) [</w:t>
      </w:r>
      <w:hyperlink r:id="rId59" w:anchor="ref-CR38" w:tooltip="Bailey KR, Crawley JN. Anxiety-Related Behaviors in Mice. In: Buccafusco JJ, editor. Methods of Behavior Analysis in Neuroscience. 2nd edition. Boca Raton (FL): CRC Press/Taylor &amp; Francis; 2009. Chapter 5." w:history="1">
        <w:r w:rsidRPr="0048023A">
          <w:rPr>
            <w:rStyle w:val="a7"/>
          </w:rPr>
          <w:t>38</w:t>
        </w:r>
      </w:hyperlink>
      <w:r w:rsidRPr="0048023A">
        <w:t>].</w:t>
      </w:r>
      <w:r>
        <w:rPr>
          <w:rFonts w:hint="eastAsia"/>
        </w:rPr>
        <w:br w:type="page"/>
      </w:r>
    </w:p>
    <w:p w14:paraId="76BADF76" w14:textId="7580100A" w:rsidR="0048023A" w:rsidRDefault="00A75605" w:rsidP="0048023A">
      <w:r>
        <w:rPr>
          <w:rFonts w:hint="eastAsia"/>
        </w:rPr>
        <w:lastRenderedPageBreak/>
        <w:t>9.</w:t>
      </w:r>
      <w:hyperlink r:id="rId60" w:history="1">
        <w:r w:rsidR="0048023A" w:rsidRPr="0048023A">
          <w:rPr>
            <w:rStyle w:val="a7"/>
          </w:rPr>
          <w:t>Frequent mild head injury promotes trigeminal sensitivity concomitant with microglial proliferation, astrocytosis, and increased neuropeptide levels in the trigeminal pain system | The Journal of Headache and Pain | Full Text</w:t>
        </w:r>
      </w:hyperlink>
    </w:p>
    <w:p w14:paraId="3D3DB8A2" w14:textId="77777777" w:rsidR="0048023A" w:rsidRDefault="0048023A" w:rsidP="0048023A"/>
    <w:p w14:paraId="59D21DE0" w14:textId="77777777" w:rsidR="0048023A" w:rsidRPr="0048023A" w:rsidRDefault="0048023A" w:rsidP="0048023A">
      <w:pPr>
        <w:rPr>
          <w:b/>
          <w:bCs/>
        </w:rPr>
      </w:pPr>
      <w:r w:rsidRPr="0048023A">
        <w:rPr>
          <w:rFonts w:hint="eastAsia"/>
          <w:b/>
          <w:bCs/>
        </w:rPr>
        <w:t xml:space="preserve">Frequent mild head injury promotes trigeminal sensitivity concomitant with microglial proliferation, </w:t>
      </w:r>
      <w:proofErr w:type="spellStart"/>
      <w:r w:rsidRPr="0048023A">
        <w:rPr>
          <w:rFonts w:hint="eastAsia"/>
          <w:b/>
          <w:bCs/>
        </w:rPr>
        <w:t>astrocytosis</w:t>
      </w:r>
      <w:proofErr w:type="spellEnd"/>
      <w:r w:rsidRPr="0048023A">
        <w:rPr>
          <w:rFonts w:hint="eastAsia"/>
          <w:b/>
          <w:bCs/>
        </w:rPr>
        <w:t>, and increased neuropeptide levels in the trigeminal pain system</w:t>
      </w:r>
    </w:p>
    <w:p w14:paraId="696F276F" w14:textId="6CD10AFD" w:rsidR="0048023A" w:rsidRDefault="0048023A" w:rsidP="0048023A">
      <w:r>
        <w:rPr>
          <w:rFonts w:hint="eastAsia"/>
        </w:rPr>
        <w:t xml:space="preserve">Ashley L. </w:t>
      </w:r>
      <w:proofErr w:type="spellStart"/>
      <w:r>
        <w:rPr>
          <w:rFonts w:hint="eastAsia"/>
        </w:rPr>
        <w:t>Tyburski</w:t>
      </w:r>
      <w:proofErr w:type="spellEnd"/>
      <w:r>
        <w:rPr>
          <w:rFonts w:hint="eastAsia"/>
        </w:rPr>
        <w:t xml:space="preserve">, Lan Cheng, Soroush </w:t>
      </w:r>
      <w:proofErr w:type="spellStart"/>
      <w:r>
        <w:rPr>
          <w:rFonts w:hint="eastAsia"/>
        </w:rPr>
        <w:t>Assari</w:t>
      </w:r>
      <w:proofErr w:type="spellEnd"/>
      <w:r>
        <w:rPr>
          <w:rFonts w:hint="eastAsia"/>
        </w:rPr>
        <w:t xml:space="preserve">, </w:t>
      </w:r>
      <w:proofErr w:type="spellStart"/>
      <w:r>
        <w:rPr>
          <w:rFonts w:hint="eastAsia"/>
        </w:rPr>
        <w:t>Kurosh</w:t>
      </w:r>
      <w:proofErr w:type="spellEnd"/>
      <w:r>
        <w:rPr>
          <w:rFonts w:hint="eastAsia"/>
        </w:rPr>
        <w:t xml:space="preserve"> Darvish &amp; Melanie B. Elliott</w:t>
      </w:r>
    </w:p>
    <w:p w14:paraId="45D7A5F8" w14:textId="77777777" w:rsidR="0048023A" w:rsidRDefault="0048023A" w:rsidP="0048023A"/>
    <w:p w14:paraId="4D3BFC6A" w14:textId="284A56FC" w:rsidR="0048023A" w:rsidRDefault="0048023A" w:rsidP="0048023A">
      <w:r>
        <w:rPr>
          <w:rFonts w:hint="eastAsia"/>
          <w:noProof/>
        </w:rPr>
        <w:drawing>
          <wp:inline distT="0" distB="0" distL="0" distR="0" wp14:anchorId="64620ADC" wp14:editId="476FD4FA">
            <wp:extent cx="5400675" cy="1590675"/>
            <wp:effectExtent l="0" t="0" r="9525" b="9525"/>
            <wp:docPr id="4064088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0675" cy="1590675"/>
                    </a:xfrm>
                    <a:prstGeom prst="rect">
                      <a:avLst/>
                    </a:prstGeom>
                    <a:noFill/>
                  </pic:spPr>
                </pic:pic>
              </a:graphicData>
            </a:graphic>
          </wp:inline>
        </w:drawing>
      </w:r>
    </w:p>
    <w:p w14:paraId="0DF65EBD" w14:textId="77777777" w:rsidR="0048023A" w:rsidRPr="0048023A" w:rsidRDefault="0048023A" w:rsidP="0048023A">
      <w:r w:rsidRPr="0048023A">
        <w:t>The effect of mild closed head injury (CHI) frequency with or without a day of recovery on trigeminal allodynia thresholds (grams) measured using von Frey filaments. Thresholds for repetitive CHI groups with two or three injuries (RCHI2, RCHI3) and incision controls (control) with 1 day of recovery (1 day) and without a day of recovery (0 days) (</w:t>
      </w:r>
      <w:r w:rsidRPr="0048023A">
        <w:rPr>
          <w:b/>
          <w:bCs/>
        </w:rPr>
        <w:t>a</w:t>
      </w:r>
      <w:r w:rsidRPr="0048023A">
        <w:t>). Trigeminal thresholds for RCHI3 (0 days) without a day of recovery between injuries, **</w:t>
      </w:r>
      <w:r w:rsidRPr="0048023A">
        <w:rPr>
          <w:i/>
          <w:iCs/>
        </w:rPr>
        <w:t>p</w:t>
      </w:r>
      <w:r w:rsidRPr="0048023A">
        <w:rPr>
          <w:rFonts w:ascii="MS Gothic" w:eastAsia="MS Gothic" w:hAnsi="MS Gothic" w:cs="MS Gothic" w:hint="eastAsia"/>
        </w:rPr>
        <w:t> </w:t>
      </w:r>
      <w:r w:rsidRPr="0048023A">
        <w:t>&lt;</w:t>
      </w:r>
      <w:r w:rsidRPr="0048023A">
        <w:rPr>
          <w:rFonts w:ascii="MS Gothic" w:eastAsia="MS Gothic" w:hAnsi="MS Gothic" w:cs="MS Gothic" w:hint="eastAsia"/>
        </w:rPr>
        <w:t> </w:t>
      </w:r>
      <w:r w:rsidRPr="0048023A">
        <w:t>0.01 compared to control. Thresholds for CHI, RCHI2, RCHI3 and controls without a day of recovery (0</w:t>
      </w:r>
      <w:r w:rsidRPr="0048023A">
        <w:rPr>
          <w:rFonts w:ascii="等线" w:eastAsia="等线" w:hAnsi="等线" w:cs="等线" w:hint="eastAsia"/>
        </w:rPr>
        <w:t> </w:t>
      </w:r>
      <w:r w:rsidRPr="0048023A">
        <w:t>days) over one week after injury (</w:t>
      </w:r>
      <w:r w:rsidRPr="0048023A">
        <w:rPr>
          <w:b/>
          <w:bCs/>
        </w:rPr>
        <w:t>b</w:t>
      </w:r>
      <w:r w:rsidRPr="0048023A">
        <w:t>). Trigeminal thresholds for groups receiving single CHI, RCHI2 and RCHI3, ***</w:t>
      </w:r>
      <w:r w:rsidRPr="0048023A">
        <w:rPr>
          <w:i/>
          <w:iCs/>
        </w:rPr>
        <w:t>p</w:t>
      </w:r>
      <w:r w:rsidRPr="0048023A">
        <w:rPr>
          <w:rFonts w:ascii="MS Gothic" w:eastAsia="MS Gothic" w:hAnsi="MS Gothic" w:cs="MS Gothic" w:hint="eastAsia"/>
        </w:rPr>
        <w:t> </w:t>
      </w:r>
      <w:r w:rsidRPr="0048023A">
        <w:t>&lt;</w:t>
      </w:r>
      <w:r w:rsidRPr="0048023A">
        <w:rPr>
          <w:rFonts w:ascii="MS Gothic" w:eastAsia="MS Gothic" w:hAnsi="MS Gothic" w:cs="MS Gothic" w:hint="eastAsia"/>
        </w:rPr>
        <w:t> </w:t>
      </w:r>
      <w:r w:rsidRPr="0048023A">
        <w:t>0.001 compared to control, ##</w:t>
      </w:r>
      <w:r w:rsidRPr="0048023A">
        <w:rPr>
          <w:i/>
          <w:iCs/>
        </w:rPr>
        <w:t>p</w:t>
      </w:r>
      <w:r w:rsidRPr="0048023A">
        <w:rPr>
          <w:rFonts w:ascii="MS Gothic" w:eastAsia="MS Gothic" w:hAnsi="MS Gothic" w:cs="MS Gothic" w:hint="eastAsia"/>
        </w:rPr>
        <w:t> </w:t>
      </w:r>
      <w:r w:rsidRPr="0048023A">
        <w:t>&lt;</w:t>
      </w:r>
      <w:r w:rsidRPr="0048023A">
        <w:rPr>
          <w:rFonts w:ascii="MS Gothic" w:eastAsia="MS Gothic" w:hAnsi="MS Gothic" w:cs="MS Gothic" w:hint="eastAsia"/>
        </w:rPr>
        <w:t> </w:t>
      </w:r>
      <w:r w:rsidRPr="0048023A">
        <w:t>0.01and #</w:t>
      </w:r>
      <w:r w:rsidRPr="0048023A">
        <w:rPr>
          <w:i/>
          <w:iCs/>
        </w:rPr>
        <w:t>p</w:t>
      </w:r>
      <w:r w:rsidRPr="0048023A">
        <w:rPr>
          <w:rFonts w:ascii="MS Gothic" w:eastAsia="MS Gothic" w:hAnsi="MS Gothic" w:cs="MS Gothic" w:hint="eastAsia"/>
        </w:rPr>
        <w:t> </w:t>
      </w:r>
      <w:r w:rsidRPr="0048023A">
        <w:t>&lt;</w:t>
      </w:r>
      <w:r w:rsidRPr="0048023A">
        <w:rPr>
          <w:rFonts w:ascii="MS Gothic" w:eastAsia="MS Gothic" w:hAnsi="MS Gothic" w:cs="MS Gothic" w:hint="eastAsia"/>
        </w:rPr>
        <w:t> </w:t>
      </w:r>
      <w:r w:rsidRPr="0048023A">
        <w:t>0.05 compared to CHI. Dashed line at</w:t>
      </w:r>
      <w:r w:rsidRPr="0048023A">
        <w:rPr>
          <w:rFonts w:ascii="MS Gothic" w:eastAsia="MS Gothic" w:hAnsi="MS Gothic" w:cs="MS Gothic" w:hint="eastAsia"/>
        </w:rPr>
        <w:t> </w:t>
      </w:r>
      <w:r w:rsidRPr="0048023A">
        <w:rPr>
          <w:rFonts w:ascii="等线" w:eastAsia="等线" w:hAnsi="等线" w:cs="等线" w:hint="eastAsia"/>
        </w:rPr>
        <w:t>≤</w:t>
      </w:r>
      <w:r w:rsidRPr="0048023A">
        <w:rPr>
          <w:rFonts w:ascii="MS Gothic" w:eastAsia="MS Gothic" w:hAnsi="MS Gothic" w:cs="MS Gothic" w:hint="eastAsia"/>
        </w:rPr>
        <w:t> </w:t>
      </w:r>
      <w:r w:rsidRPr="0048023A">
        <w:t>6</w:t>
      </w:r>
      <w:r w:rsidRPr="0048023A">
        <w:rPr>
          <w:rFonts w:ascii="等线" w:eastAsia="等线" w:hAnsi="等线" w:cs="等线" w:hint="eastAsia"/>
        </w:rPr>
        <w:t> </w:t>
      </w:r>
      <w:r w:rsidRPr="0048023A">
        <w:t>g represents allodynia</w:t>
      </w:r>
    </w:p>
    <w:p w14:paraId="3EC64BD3" w14:textId="38C54755" w:rsidR="0048023A" w:rsidRDefault="0048023A" w:rsidP="0048023A"/>
    <w:p w14:paraId="717D7C36" w14:textId="77777777" w:rsidR="0048023A" w:rsidRDefault="0048023A" w:rsidP="0048023A"/>
    <w:p w14:paraId="46C46348" w14:textId="77777777" w:rsidR="0048023A" w:rsidRPr="0048023A" w:rsidRDefault="0048023A" w:rsidP="0048023A">
      <w:r w:rsidRPr="0048023A">
        <w:t>Trigeminal allodynia testing</w:t>
      </w:r>
    </w:p>
    <w:p w14:paraId="77219DF4" w14:textId="77777777" w:rsidR="0048023A" w:rsidRPr="0048023A" w:rsidRDefault="0048023A" w:rsidP="0048023A">
      <w:r w:rsidRPr="0048023A">
        <w:t>Trigeminal allodynia testing was performed using von Frey monofilaments (North Coast Medical Inc, CA) with calibrated bending forces (grams) according to the size of the filament. Mechanical allodynia [cutaneous hypersensitivity to a mechanical stimulus that is otherwise innocuous under normal conditions] is a pain response common in patients with migraine, and has also been reported in patients with post-traumatic headache [</w:t>
      </w:r>
      <w:hyperlink r:id="rId62" w:anchor="ref-CR26" w:tooltip="Ofek H, Defrin R (2007) The characteristics of chronic central pain after traumatic brain injury. Pain 131:330–340" w:history="1">
        <w:r w:rsidRPr="0048023A">
          <w:rPr>
            <w:rStyle w:val="a7"/>
          </w:rPr>
          <w:t>26</w:t>
        </w:r>
      </w:hyperlink>
      <w:r w:rsidRPr="0048023A">
        <w:t>–</w:t>
      </w:r>
      <w:hyperlink r:id="rId63" w:anchor="ref-CR28" w:tooltip="Burstein R, Jakubowski M, Garcia-Nicas E, Kainz V, Bajwa Z, Hargreaves R, Becerra L, Borsook D (2010) Thalamic sensitization transforms localized pain into widespread allodynia. Ann Neurol 68:81–91" w:history="1">
        <w:r w:rsidRPr="0048023A">
          <w:rPr>
            <w:rStyle w:val="a7"/>
          </w:rPr>
          <w:t>28</w:t>
        </w:r>
      </w:hyperlink>
      <w:r w:rsidRPr="0048023A">
        <w:t>]. Animals were tested during the morning daylight portion of their circadian cycle (9 am to 12 pm). The periorbital region was selected for allodynia testing as previously described by our laboratory due to this region being innervated by the fifth cranial N, the trigeminal nerve [</w:t>
      </w:r>
      <w:hyperlink r:id="rId64" w:anchor="ref-CR18" w:tooltip="Macolino CM, Daiutolo BV, Alberston BK, Elliott MB (2014) Mechanical alloydnia induced by traumatic brain injury is independent of restraint stress. J Neurosci methods 226:139-46" w:history="1">
        <w:r w:rsidRPr="0048023A">
          <w:rPr>
            <w:rStyle w:val="a7"/>
          </w:rPr>
          <w:t>18</w:t>
        </w:r>
      </w:hyperlink>
      <w:r w:rsidRPr="0048023A">
        <w:t>, </w:t>
      </w:r>
      <w:hyperlink r:id="rId65" w:anchor="ref-CR29" w:tooltip="Elliott MB, Barr AE, Clark BD, Wade CK, Barbe MF (2010) Performance of a repetitive task by aged rats leads to median neuropathy and spinal cord inflammation with associated sensorimotor declines. Neuroscience 170:929–941" w:history="1">
        <w:r w:rsidRPr="0048023A">
          <w:rPr>
            <w:rStyle w:val="a7"/>
          </w:rPr>
          <w:t>29</w:t>
        </w:r>
      </w:hyperlink>
      <w:r w:rsidRPr="0048023A">
        <w:t>]. Von Frey sensory testing is a validated method to test for allodynia in rodents and to evaluate sensory changes in models of inflammatory stimulation [</w:t>
      </w:r>
      <w:hyperlink r:id="rId66" w:anchor="ref-CR30" w:tooltip="Chaplan SR, Bach FW, Pogrel JW, Chung JM, Yaksh TL (1994) Quantitative assessment of tactile allodynia in the rat paw. J Neurosci Methods 53:55–63" w:history="1">
        <w:r w:rsidRPr="0048023A">
          <w:rPr>
            <w:rStyle w:val="a7"/>
          </w:rPr>
          <w:t>30</w:t>
        </w:r>
      </w:hyperlink>
      <w:r w:rsidRPr="0048023A">
        <w:t>–</w:t>
      </w:r>
      <w:hyperlink r:id="rId67" w:anchor="ref-CR33" w:tooltip="Oshinsky ML, Sanghvi MM, Maxwell CR, Gonzalez D, Spangenberg RJ, Cooper M, Silberstein SD (2012) Spontaneous trigeminal allodynia in rats: a model of primary headache. Headache 52:1336–1349" w:history="1">
        <w:r w:rsidRPr="0048023A">
          <w:rPr>
            <w:rStyle w:val="a7"/>
          </w:rPr>
          <w:t>33</w:t>
        </w:r>
      </w:hyperlink>
      <w:r w:rsidRPr="0048023A">
        <w:t xml:space="preserve">]. For periorbital testing, animals enter the restraint device </w:t>
      </w:r>
      <w:proofErr w:type="spellStart"/>
      <w:r w:rsidRPr="0048023A">
        <w:t>uncoaxed</w:t>
      </w:r>
      <w:proofErr w:type="spellEnd"/>
      <w:r w:rsidRPr="0048023A">
        <w:t xml:space="preserve"> and without force, tight restraint or change in the degree of restraint for less than 10 min. Periorbital thresholds (grams) were determined by applying the von Frey monofilaments to the periorbital region on the right and left side of the face over the rostral portion of the eye and distal from the suture site for five stimulations. </w:t>
      </w:r>
      <w:r w:rsidRPr="0048023A">
        <w:lastRenderedPageBreak/>
        <w:t>In order for a stimulation to elicit a positive response, the filament must make firm perpendicular contact with the skin causing the filament to bend, and thereby producing a precise bending force as calibrated by the manufacturer. A positive response for periorbital testing was characterized by the following criteria: animal vigorously stroked its face with the forepaw, head withdrawal from the stimulus, or head shaking.</w:t>
      </w:r>
    </w:p>
    <w:p w14:paraId="5FB5853C" w14:textId="77777777" w:rsidR="0048023A" w:rsidRPr="0048023A" w:rsidRDefault="0048023A" w:rsidP="0048023A">
      <w:r w:rsidRPr="0048023A">
        <w:t xml:space="preserve">Naïve, baseline periorbital thresholds range for rats is 8–10 g, while a reduction below baseline threshold is considered trigeminal allodynia (≤6 g). While thresholds in some naïve rats may go above 10 g, the upper limit was cutoff at 10 g for all experiments to prevent any cutaneous irritation to the animal. For baseline and post-injury measures, each animal was stimulated five times bilaterally with each filament. A </w:t>
      </w:r>
      <w:proofErr w:type="gramStart"/>
      <w:r w:rsidRPr="0048023A">
        <w:t>force thresholds (g)</w:t>
      </w:r>
      <w:proofErr w:type="gramEnd"/>
      <w:r w:rsidRPr="0048023A">
        <w:t xml:space="preserve"> was defined as the force at which greater than a 60% (3 out of 5) response frequency for a von Frey stimulus was elicited. Thresholds were presented as the mean threshold (g)</w:t>
      </w:r>
      <w:r w:rsidRPr="0048023A">
        <w:rPr>
          <w:rFonts w:ascii="MS Gothic" w:eastAsia="MS Gothic" w:hAnsi="MS Gothic" w:cs="MS Gothic" w:hint="eastAsia"/>
        </w:rPr>
        <w:t> </w:t>
      </w:r>
      <w:r w:rsidRPr="0048023A">
        <w:rPr>
          <w:rFonts w:ascii="等线" w:eastAsia="等线" w:hAnsi="等线" w:cs="等线" w:hint="eastAsia"/>
        </w:rPr>
        <w:t>±</w:t>
      </w:r>
      <w:r w:rsidRPr="0048023A">
        <w:rPr>
          <w:rFonts w:ascii="MS Gothic" w:eastAsia="MS Gothic" w:hAnsi="MS Gothic" w:cs="MS Gothic" w:hint="eastAsia"/>
        </w:rPr>
        <w:t> </w:t>
      </w:r>
      <w:r w:rsidRPr="0048023A">
        <w:t>SEM.</w:t>
      </w:r>
    </w:p>
    <w:p w14:paraId="54EDD396" w14:textId="4D93C977" w:rsidR="00A018A8" w:rsidRDefault="00A018A8">
      <w:pPr>
        <w:widowControl/>
        <w:jc w:val="left"/>
      </w:pPr>
      <w:r>
        <w:rPr>
          <w:rFonts w:hint="eastAsia"/>
        </w:rPr>
        <w:br w:type="page"/>
      </w:r>
    </w:p>
    <w:p w14:paraId="7A4CB08A" w14:textId="20B5003B" w:rsidR="00231BFF" w:rsidRDefault="00A75605" w:rsidP="00231BFF">
      <w:r>
        <w:rPr>
          <w:rFonts w:hint="eastAsia"/>
        </w:rPr>
        <w:lastRenderedPageBreak/>
        <w:t>10.</w:t>
      </w:r>
      <w:hyperlink r:id="rId68" w:anchor="Sec2" w:history="1">
        <w:r w:rsidR="00ED608B" w:rsidRPr="00ED608B">
          <w:rPr>
            <w:rStyle w:val="a7"/>
          </w:rPr>
          <w:t>Measurement of mechanical withdrawal thresholds and gait analysis using the CatWalk method in a nucleus pulposus-applied rodent model | Journal of Experimental Orthopaedics | Full Text</w:t>
        </w:r>
      </w:hyperlink>
    </w:p>
    <w:p w14:paraId="26F2B644" w14:textId="77777777" w:rsidR="00ED608B" w:rsidRDefault="00ED608B" w:rsidP="00231BFF"/>
    <w:p w14:paraId="50C75762" w14:textId="77777777" w:rsidR="00ED608B" w:rsidRPr="00ED608B" w:rsidRDefault="00ED608B" w:rsidP="00ED608B">
      <w:pPr>
        <w:rPr>
          <w:b/>
          <w:bCs/>
        </w:rPr>
      </w:pPr>
      <w:r w:rsidRPr="00ED608B">
        <w:rPr>
          <w:rFonts w:hint="eastAsia"/>
          <w:b/>
          <w:bCs/>
        </w:rPr>
        <w:t xml:space="preserve">Measurement of mechanical withdrawal thresholds and gait analysis using the </w:t>
      </w:r>
      <w:proofErr w:type="spellStart"/>
      <w:r w:rsidRPr="00ED608B">
        <w:rPr>
          <w:rFonts w:hint="eastAsia"/>
          <w:b/>
          <w:bCs/>
        </w:rPr>
        <w:t>CatWalk</w:t>
      </w:r>
      <w:proofErr w:type="spellEnd"/>
      <w:r w:rsidRPr="00ED608B">
        <w:rPr>
          <w:rFonts w:hint="eastAsia"/>
          <w:b/>
          <w:bCs/>
        </w:rPr>
        <w:t xml:space="preserve"> method in a nucleus pulposus-applied rodent model</w:t>
      </w:r>
    </w:p>
    <w:p w14:paraId="69E8D0D3" w14:textId="0A70263E" w:rsidR="00ED608B" w:rsidRDefault="00ED608B" w:rsidP="00ED608B">
      <w:r>
        <w:rPr>
          <w:rFonts w:hint="eastAsia"/>
        </w:rPr>
        <w:t xml:space="preserve">Takuya Kameda, Yoichi </w:t>
      </w:r>
      <w:proofErr w:type="spellStart"/>
      <w:r>
        <w:rPr>
          <w:rFonts w:hint="eastAsia"/>
        </w:rPr>
        <w:t>Kaneuchi</w:t>
      </w:r>
      <w:proofErr w:type="spellEnd"/>
      <w:r>
        <w:rPr>
          <w:rFonts w:hint="eastAsia"/>
        </w:rPr>
        <w:t>, Miho Sekiguchi &amp; Shin-</w:t>
      </w:r>
      <w:proofErr w:type="spellStart"/>
      <w:r>
        <w:rPr>
          <w:rFonts w:hint="eastAsia"/>
        </w:rPr>
        <w:t>ichi</w:t>
      </w:r>
      <w:proofErr w:type="spellEnd"/>
      <w:r>
        <w:rPr>
          <w:rFonts w:hint="eastAsia"/>
        </w:rPr>
        <w:t xml:space="preserve"> Konno</w:t>
      </w:r>
    </w:p>
    <w:p w14:paraId="0EB183FA" w14:textId="77777777" w:rsidR="00ED608B" w:rsidRDefault="00ED608B" w:rsidP="00ED608B"/>
    <w:p w14:paraId="79795B98" w14:textId="1C1E33F2" w:rsidR="00ED608B" w:rsidRDefault="00ED608B" w:rsidP="00ED608B">
      <w:r>
        <w:rPr>
          <w:rFonts w:hint="eastAsia"/>
          <w:noProof/>
        </w:rPr>
        <w:drawing>
          <wp:inline distT="0" distB="0" distL="0" distR="0" wp14:anchorId="586FFEFE" wp14:editId="79005087">
            <wp:extent cx="3409950" cy="2076450"/>
            <wp:effectExtent l="0" t="0" r="0" b="0"/>
            <wp:docPr id="1906306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09950" cy="2076450"/>
                    </a:xfrm>
                    <a:prstGeom prst="rect">
                      <a:avLst/>
                    </a:prstGeom>
                    <a:noFill/>
                  </pic:spPr>
                </pic:pic>
              </a:graphicData>
            </a:graphic>
          </wp:inline>
        </w:drawing>
      </w:r>
    </w:p>
    <w:p w14:paraId="1C8740D2" w14:textId="7B024BD1" w:rsidR="00ED608B" w:rsidRDefault="00ED608B" w:rsidP="00ED608B">
      <w:r w:rsidRPr="00ED608B">
        <w:t>Changes in the mechanical withdrawal threshold of the footpad in rats. In the NP group, there are significant differences in the thresholds compared with the sham group on days 14 and 21 (*</w:t>
      </w:r>
      <w:r w:rsidRPr="00ED608B">
        <w:rPr>
          <w:i/>
          <w:iCs/>
        </w:rPr>
        <w:t>p</w:t>
      </w:r>
      <w:r w:rsidRPr="00ED608B">
        <w:t> &lt; 0.05)</w:t>
      </w:r>
    </w:p>
    <w:p w14:paraId="2977B406" w14:textId="77777777" w:rsidR="00ED608B" w:rsidRDefault="00ED608B" w:rsidP="00ED608B"/>
    <w:p w14:paraId="1ED539A3" w14:textId="2B643F98" w:rsidR="00ED608B" w:rsidRDefault="00ED608B" w:rsidP="00ED608B">
      <w:r>
        <w:rPr>
          <w:rFonts w:hint="eastAsia"/>
          <w:noProof/>
        </w:rPr>
        <w:drawing>
          <wp:inline distT="0" distB="0" distL="0" distR="0" wp14:anchorId="6C86EE6B" wp14:editId="649F6A4E">
            <wp:extent cx="3941618" cy="2826689"/>
            <wp:effectExtent l="0" t="0" r="1905" b="0"/>
            <wp:docPr id="15400897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72044" cy="2848508"/>
                    </a:xfrm>
                    <a:prstGeom prst="rect">
                      <a:avLst/>
                    </a:prstGeom>
                    <a:noFill/>
                  </pic:spPr>
                </pic:pic>
              </a:graphicData>
            </a:graphic>
          </wp:inline>
        </w:drawing>
      </w:r>
    </w:p>
    <w:p w14:paraId="31A9854E" w14:textId="64B3BAD9" w:rsidR="00ED608B" w:rsidRDefault="00ED608B" w:rsidP="00ED608B">
      <w:r w:rsidRPr="00ED608B">
        <w:t>Changes in the paw statistics related to walking duration for both hind paws. In the NP group, there are significant differences in </w:t>
      </w:r>
      <w:r w:rsidRPr="00ED608B">
        <w:rPr>
          <w:i/>
          <w:iCs/>
        </w:rPr>
        <w:t>stand</w:t>
      </w:r>
      <w:r w:rsidRPr="00ED608B">
        <w:t> compared with the sham group on days 7 and 14 (*p &lt; 0.05) (A). There are no significant differences in </w:t>
      </w:r>
      <w:r w:rsidRPr="00ED608B">
        <w:rPr>
          <w:i/>
          <w:iCs/>
        </w:rPr>
        <w:t>swing</w:t>
      </w:r>
      <w:r w:rsidRPr="00ED608B">
        <w:t> compared with the sham group at any time points (B). There are significant differences in the </w:t>
      </w:r>
      <w:r w:rsidRPr="00ED608B">
        <w:rPr>
          <w:i/>
          <w:iCs/>
        </w:rPr>
        <w:t>step cycle</w:t>
      </w:r>
      <w:r w:rsidRPr="00ED608B">
        <w:t> compared with the sham group on day 7 (*p &lt; 0.05) (C). There are significant differences in the </w:t>
      </w:r>
      <w:r w:rsidRPr="00ED608B">
        <w:rPr>
          <w:i/>
          <w:iCs/>
        </w:rPr>
        <w:t>duty cycle</w:t>
      </w:r>
      <w:r w:rsidRPr="00ED608B">
        <w:t> compared with the sham group on day 7 (*</w:t>
      </w:r>
      <w:r w:rsidRPr="00ED608B">
        <w:rPr>
          <w:i/>
          <w:iCs/>
        </w:rPr>
        <w:t>p</w:t>
      </w:r>
      <w:r w:rsidRPr="00ED608B">
        <w:t> &lt; 0.05) (D)</w:t>
      </w:r>
    </w:p>
    <w:p w14:paraId="418FC51B" w14:textId="77777777" w:rsidR="00ED608B" w:rsidRDefault="00ED608B" w:rsidP="00ED608B"/>
    <w:p w14:paraId="0AD338E7" w14:textId="40072E60" w:rsidR="00ED608B" w:rsidRDefault="00F777A5" w:rsidP="00ED608B">
      <w:r>
        <w:rPr>
          <w:rFonts w:hint="eastAsia"/>
          <w:noProof/>
        </w:rPr>
        <w:drawing>
          <wp:inline distT="0" distB="0" distL="0" distR="0" wp14:anchorId="340E0BDE" wp14:editId="3E7595F8">
            <wp:extent cx="5400675" cy="2409825"/>
            <wp:effectExtent l="0" t="0" r="9525" b="9525"/>
            <wp:docPr id="160145160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00675" cy="2409825"/>
                    </a:xfrm>
                    <a:prstGeom prst="rect">
                      <a:avLst/>
                    </a:prstGeom>
                    <a:noFill/>
                  </pic:spPr>
                </pic:pic>
              </a:graphicData>
            </a:graphic>
          </wp:inline>
        </w:drawing>
      </w:r>
    </w:p>
    <w:p w14:paraId="7A4D1FB2" w14:textId="77777777" w:rsidR="00F777A5" w:rsidRPr="00F777A5" w:rsidRDefault="00F777A5" w:rsidP="00F777A5">
      <w:r w:rsidRPr="00F777A5">
        <w:t>Changes in the paw statistics calculated from bilateral paw duration (*p &lt; 0.05). In the NP group, there are significant differences in RH </w:t>
      </w:r>
      <w:r w:rsidRPr="00F777A5">
        <w:rPr>
          <w:i/>
          <w:iCs/>
        </w:rPr>
        <w:t>initial dual stance</w:t>
      </w:r>
      <w:r w:rsidRPr="00F777A5">
        <w:t> compared with the sham group on days 7 and 14 (*p &lt; 0.05) (A). There are no significant differences in LH </w:t>
      </w:r>
      <w:r w:rsidRPr="00F777A5">
        <w:rPr>
          <w:i/>
          <w:iCs/>
        </w:rPr>
        <w:t>initial dual stance</w:t>
      </w:r>
      <w:r w:rsidRPr="00F777A5">
        <w:t> compared with the sham group (B)</w:t>
      </w:r>
    </w:p>
    <w:p w14:paraId="6FB825E4" w14:textId="1BDFBE52" w:rsidR="00F777A5" w:rsidRDefault="00F777A5" w:rsidP="00F777A5"/>
    <w:p w14:paraId="7F379C04" w14:textId="77777777" w:rsidR="00F777A5" w:rsidRDefault="00F777A5" w:rsidP="00F777A5"/>
    <w:p w14:paraId="60855DA6" w14:textId="77777777" w:rsidR="00F777A5" w:rsidRPr="00F777A5" w:rsidRDefault="00F777A5" w:rsidP="00F777A5">
      <w:r w:rsidRPr="00F777A5">
        <w:t>Mechanical withdrawal thresholds</w:t>
      </w:r>
    </w:p>
    <w:p w14:paraId="776699EB" w14:textId="77777777" w:rsidR="00F777A5" w:rsidRPr="00F777A5" w:rsidRDefault="00F777A5" w:rsidP="00F777A5">
      <w:r w:rsidRPr="00F777A5">
        <w:t>Behavioral testing of mechanical withdrawal thresholds using von Frey filaments was performed 1 day before surgery to serve as a baseline and 7, 14, 21, and 28 days after surgery. The left hind paw withdrawal response to von Frey filament (</w:t>
      </w:r>
      <w:proofErr w:type="spellStart"/>
      <w:r w:rsidRPr="00F777A5">
        <w:t>Aesthesio</w:t>
      </w:r>
      <w:proofErr w:type="spellEnd"/>
      <w:r w:rsidRPr="00F777A5">
        <w:t xml:space="preserve">®, </w:t>
      </w:r>
      <w:proofErr w:type="spellStart"/>
      <w:r w:rsidRPr="00F777A5">
        <w:t>DanMic</w:t>
      </w:r>
      <w:proofErr w:type="spellEnd"/>
      <w:r w:rsidRPr="00F777A5">
        <w:t xml:space="preserve"> Global LCC, San Jose, CA, USA) stimulation of the plantar surface of the footpads was determined. The rats were placed individually in an acrylic cage with a mesh floor and allowed to acclimatize until cage exploration and major grooming activities ceased. The lateral-plantar surface of the operated (left) hind paw was stimulated with 9 von Frey filaments (1.0, 1.4, 2.0, 4.0, 6.0, 8.0, 10.0, 15.0, and 26.0 g, as rated by the manufacturer) threaded under the mesh floor. Stimulation was initiated with the 1.0-g filament and applied just until the filament bent for 2–3 s. If the rat did not withdraw its foot after stimulation, testing with the next stiffer filament was carried out in the same manner. The response was considered positive if the hind limb was lifted as an escape response. A single set of these procedures was performed to determine the threshold. When the rat did not show any escape response, the threshold was estimated to be 26 g considering the sensitivity limit of this experiment.</w:t>
      </w:r>
    </w:p>
    <w:p w14:paraId="465D69E7" w14:textId="54A1BE3A" w:rsidR="00F777A5" w:rsidRDefault="00F777A5">
      <w:pPr>
        <w:widowControl/>
        <w:jc w:val="left"/>
      </w:pPr>
      <w:r>
        <w:rPr>
          <w:rFonts w:hint="eastAsia"/>
        </w:rPr>
        <w:br w:type="page"/>
      </w:r>
    </w:p>
    <w:p w14:paraId="5C0B91E2" w14:textId="35949E22" w:rsidR="00F777A5" w:rsidRDefault="00A75605" w:rsidP="00F777A5">
      <w:r>
        <w:rPr>
          <w:rFonts w:hint="eastAsia"/>
        </w:rPr>
        <w:lastRenderedPageBreak/>
        <w:t>11.</w:t>
      </w:r>
      <w:hyperlink r:id="rId72" w:anchor="Sec2" w:history="1">
        <w:r w:rsidR="00F777A5" w:rsidRPr="00F777A5">
          <w:rPr>
            <w:rStyle w:val="a7"/>
          </w:rPr>
          <w:t>Liquiritigenin alleviates mechanical and cold hyperalgesia in a rat neuropathic pain model | Scientific Reports</w:t>
        </w:r>
      </w:hyperlink>
    </w:p>
    <w:p w14:paraId="7B06D3CF" w14:textId="77777777" w:rsidR="00F777A5" w:rsidRDefault="00F777A5" w:rsidP="00F777A5"/>
    <w:p w14:paraId="4517813C" w14:textId="77777777" w:rsidR="00F777A5" w:rsidRPr="00F777A5" w:rsidRDefault="00F777A5" w:rsidP="00F777A5">
      <w:pPr>
        <w:rPr>
          <w:b/>
          <w:bCs/>
        </w:rPr>
      </w:pPr>
      <w:r w:rsidRPr="00F777A5">
        <w:rPr>
          <w:rFonts w:hint="eastAsia"/>
          <w:b/>
          <w:bCs/>
        </w:rPr>
        <w:t>Liquiritigenin alleviates mechanical and cold hyperalgesia in a rat neuropathic pain model</w:t>
      </w:r>
    </w:p>
    <w:p w14:paraId="0EC4A228" w14:textId="31C5A667" w:rsidR="00F777A5" w:rsidRDefault="00F777A5" w:rsidP="00F777A5">
      <w:r>
        <w:rPr>
          <w:rFonts w:hint="eastAsia"/>
        </w:rPr>
        <w:t xml:space="preserve">Li Chen, Wei Chen, Xiao Qian, Yun Fang &amp; </w:t>
      </w:r>
      <w:proofErr w:type="spellStart"/>
      <w:r>
        <w:rPr>
          <w:rFonts w:hint="eastAsia"/>
        </w:rPr>
        <w:t>Naijun</w:t>
      </w:r>
      <w:proofErr w:type="spellEnd"/>
      <w:r>
        <w:rPr>
          <w:rFonts w:hint="eastAsia"/>
        </w:rPr>
        <w:t xml:space="preserve"> Zhu</w:t>
      </w:r>
    </w:p>
    <w:p w14:paraId="10EA84D1" w14:textId="536FF260" w:rsidR="00F777A5" w:rsidRDefault="00F777A5" w:rsidP="00F777A5"/>
    <w:p w14:paraId="67527386" w14:textId="77777777" w:rsidR="00F777A5" w:rsidRDefault="00F777A5" w:rsidP="00F777A5"/>
    <w:p w14:paraId="27A6831E" w14:textId="1A63340E" w:rsidR="00F777A5" w:rsidRDefault="00F777A5" w:rsidP="00F777A5">
      <w:r>
        <w:rPr>
          <w:rFonts w:hint="eastAsia"/>
          <w:noProof/>
        </w:rPr>
        <w:drawing>
          <wp:inline distT="0" distB="0" distL="0" distR="0" wp14:anchorId="3D944EAB" wp14:editId="2718E1CE">
            <wp:extent cx="5913227" cy="3927764"/>
            <wp:effectExtent l="0" t="0" r="0" b="0"/>
            <wp:docPr id="106562809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17902" cy="3930869"/>
                    </a:xfrm>
                    <a:prstGeom prst="rect">
                      <a:avLst/>
                    </a:prstGeom>
                    <a:noFill/>
                  </pic:spPr>
                </pic:pic>
              </a:graphicData>
            </a:graphic>
          </wp:inline>
        </w:drawing>
      </w:r>
    </w:p>
    <w:p w14:paraId="1C6B639B" w14:textId="77777777" w:rsidR="00F777A5" w:rsidRPr="00F777A5" w:rsidRDefault="00F777A5" w:rsidP="00F777A5">
      <w:r w:rsidRPr="00F777A5">
        <w:t>Effect of liquiritigenin on the paw withdrawal thresholds as tested by von Frey test (n = 8 per group).</w:t>
      </w:r>
    </w:p>
    <w:p w14:paraId="5ED8ED79" w14:textId="77777777" w:rsidR="00F777A5" w:rsidRPr="00F777A5" w:rsidRDefault="00F777A5" w:rsidP="00F777A5">
      <w:r w:rsidRPr="00F777A5">
        <w:t>Filled symbols indicated data significantly different from vehicle-treated group.</w:t>
      </w:r>
    </w:p>
    <w:p w14:paraId="31F7B833" w14:textId="36240224" w:rsidR="00F777A5" w:rsidRDefault="00F777A5" w:rsidP="00F777A5">
      <w:r>
        <w:rPr>
          <w:rFonts w:hint="eastAsia"/>
          <w:noProof/>
        </w:rPr>
        <w:lastRenderedPageBreak/>
        <w:drawing>
          <wp:inline distT="0" distB="0" distL="0" distR="0" wp14:anchorId="651E137E" wp14:editId="4AEBBEAA">
            <wp:extent cx="5852680" cy="4126780"/>
            <wp:effectExtent l="0" t="0" r="0" b="3810"/>
            <wp:docPr id="91415339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52680" cy="4126780"/>
                    </a:xfrm>
                    <a:prstGeom prst="rect">
                      <a:avLst/>
                    </a:prstGeom>
                    <a:noFill/>
                  </pic:spPr>
                </pic:pic>
              </a:graphicData>
            </a:graphic>
          </wp:inline>
        </w:drawing>
      </w:r>
    </w:p>
    <w:p w14:paraId="00938053" w14:textId="77777777" w:rsidR="00D01AFF" w:rsidRPr="00D01AFF" w:rsidRDefault="00D01AFF" w:rsidP="00D01AFF">
      <w:r w:rsidRPr="00D01AFF">
        <w:t>Effect of liquiritigenin on the paw withdrawal latency as tested by plantar test (n = 8 per group).</w:t>
      </w:r>
    </w:p>
    <w:p w14:paraId="35AEB157" w14:textId="77777777" w:rsidR="00D01AFF" w:rsidRPr="00D01AFF" w:rsidRDefault="00D01AFF" w:rsidP="00D01AFF">
      <w:r w:rsidRPr="00D01AFF">
        <w:t>Filled symbols indicated data significantly different from vehicle-treated group.</w:t>
      </w:r>
    </w:p>
    <w:p w14:paraId="4A4CC268" w14:textId="12DD2907" w:rsidR="00F777A5" w:rsidRDefault="00D01AFF" w:rsidP="00F777A5">
      <w:r>
        <w:rPr>
          <w:rFonts w:hint="eastAsia"/>
          <w:noProof/>
        </w:rPr>
        <w:drawing>
          <wp:inline distT="0" distB="0" distL="0" distR="0" wp14:anchorId="116F668D" wp14:editId="0FAC91B1">
            <wp:extent cx="5529077" cy="3664527"/>
            <wp:effectExtent l="0" t="0" r="0" b="0"/>
            <wp:docPr id="8239256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51379" cy="3679308"/>
                    </a:xfrm>
                    <a:prstGeom prst="rect">
                      <a:avLst/>
                    </a:prstGeom>
                    <a:noFill/>
                  </pic:spPr>
                </pic:pic>
              </a:graphicData>
            </a:graphic>
          </wp:inline>
        </w:drawing>
      </w:r>
    </w:p>
    <w:p w14:paraId="4CE0BABA" w14:textId="77777777" w:rsidR="00D01AFF" w:rsidRPr="00D01AFF" w:rsidRDefault="00D01AFF" w:rsidP="00D01AFF">
      <w:r w:rsidRPr="00D01AFF">
        <w:t xml:space="preserve">Effect of liquiritigenin on the paw withdrawal latency as tested by cold plate test (n = 8 per </w:t>
      </w:r>
      <w:r w:rsidRPr="00D01AFF">
        <w:lastRenderedPageBreak/>
        <w:t>group).</w:t>
      </w:r>
    </w:p>
    <w:p w14:paraId="64685C0B" w14:textId="77777777" w:rsidR="00D01AFF" w:rsidRPr="00D01AFF" w:rsidRDefault="00D01AFF" w:rsidP="00D01AFF">
      <w:r w:rsidRPr="00D01AFF">
        <w:t>Filled symbols indicated data significantly different from vehicle-treated group.</w:t>
      </w:r>
    </w:p>
    <w:p w14:paraId="2E34BFEF" w14:textId="77777777" w:rsidR="00D01AFF" w:rsidRDefault="00D01AFF" w:rsidP="00F777A5"/>
    <w:p w14:paraId="05E38F65" w14:textId="77777777" w:rsidR="00D01AFF" w:rsidRDefault="00D01AFF" w:rsidP="00F777A5"/>
    <w:p w14:paraId="5184935A" w14:textId="77777777" w:rsidR="00D01AFF" w:rsidRPr="00D01AFF" w:rsidRDefault="00D01AFF" w:rsidP="00D01AFF">
      <w:r w:rsidRPr="00D01AFF">
        <w:t>Behavioral assessment</w:t>
      </w:r>
    </w:p>
    <w:p w14:paraId="6615BE82" w14:textId="77777777" w:rsidR="00D01AFF" w:rsidRPr="00D01AFF" w:rsidRDefault="00D01AFF" w:rsidP="00D01AFF">
      <w:r w:rsidRPr="00D01AFF">
        <w:t>For the establishment of chronic pain, a constriction injury was applied to the sciatic nerve, which induced neuropathic pain characterized by hyperalgesia and allodynia. The electronic von Frey test, the plantar test and cold plate test were performed to assess mechanical, thermal and cold hyperalgesia, respectively. The rotarod test was used to examine potential motor dysfunction. In studies that examine the drug duration of actions, baseline measurement was immediately followed by an injection of the drug liquiritigenin and the paw withdrawal threshold was then measured every 10</w:t>
      </w:r>
      <w:r w:rsidRPr="00D01AFF">
        <w:rPr>
          <w:rFonts w:ascii="MS Gothic" w:eastAsia="MS Gothic" w:hAnsi="MS Gothic" w:cs="MS Gothic" w:hint="eastAsia"/>
        </w:rPr>
        <w:t> </w:t>
      </w:r>
      <w:r w:rsidRPr="00D01AFF">
        <w:t>min until the drug effect dissipated to a level that the paw withdrawal threshold was not significantly different from the control level.</w:t>
      </w:r>
    </w:p>
    <w:p w14:paraId="6B3A60C2" w14:textId="77777777" w:rsidR="00D01AFF" w:rsidRPr="00D01AFF" w:rsidRDefault="00D01AFF" w:rsidP="00D01AFF">
      <w:r w:rsidRPr="00D01AFF">
        <w:t>Von Frey filament test</w:t>
      </w:r>
    </w:p>
    <w:p w14:paraId="399EE305" w14:textId="77777777" w:rsidR="00D01AFF" w:rsidRPr="00D01AFF" w:rsidRDefault="00D01AFF" w:rsidP="00D01AFF">
      <w:r w:rsidRPr="00D01AFF">
        <w:t>To evaluate the magnitude of mechanical allodynia, a Von Frey filament method was used. For this method, filaments of varying forces (0.07–300</w:t>
      </w:r>
      <w:r w:rsidRPr="00D01AFF">
        <w:rPr>
          <w:rFonts w:ascii="MS Gothic" w:eastAsia="MS Gothic" w:hAnsi="MS Gothic" w:cs="MS Gothic" w:hint="eastAsia"/>
        </w:rPr>
        <w:t> </w:t>
      </w:r>
      <w:r w:rsidRPr="00D01AFF">
        <w:t>g) were applied to the mid-plantar surface of the right hind paw, with each application held until curved for 6</w:t>
      </w:r>
      <w:r w:rsidRPr="00D01AFF">
        <w:rPr>
          <w:rFonts w:ascii="MS Gothic" w:eastAsia="MS Gothic" w:hAnsi="MS Gothic" w:cs="MS Gothic" w:hint="eastAsia"/>
        </w:rPr>
        <w:t> </w:t>
      </w:r>
      <w:r w:rsidRPr="00D01AFF">
        <w:t>s using the up-down method</w:t>
      </w:r>
      <w:hyperlink r:id="rId76" w:anchor="ref-CR11" w:tooltip="Dixon, W. J. Efficient analysis of experimental observations. Annu Rev Pharmacol Toxicol 20, 441–462 (1980)." w:history="1">
        <w:r w:rsidRPr="00D01AFF">
          <w:rPr>
            <w:rStyle w:val="a7"/>
          </w:rPr>
          <w:t>11</w:t>
        </w:r>
      </w:hyperlink>
      <w:r w:rsidRPr="00D01AFF">
        <w:t>. The mechanical allodynia was assessed prior to and daily after 5 days of liquiritigenin treatment. During the tests, rats were placed in individual Plexiglas chambers on top of a wire meshed floor suspended 50</w:t>
      </w:r>
      <w:r w:rsidRPr="00D01AFF">
        <w:rPr>
          <w:rFonts w:ascii="MS Gothic" w:eastAsia="MS Gothic" w:hAnsi="MS Gothic" w:cs="MS Gothic" w:hint="eastAsia"/>
        </w:rPr>
        <w:t> </w:t>
      </w:r>
      <w:r w:rsidRPr="00D01AFF">
        <w:t>cm above the laboratory bench top and acclimated to the environment for 30</w:t>
      </w:r>
      <w:r w:rsidRPr="00D01AFF">
        <w:rPr>
          <w:rFonts w:ascii="MS Gothic" w:eastAsia="MS Gothic" w:hAnsi="MS Gothic" w:cs="MS Gothic" w:hint="eastAsia"/>
        </w:rPr>
        <w:t> </w:t>
      </w:r>
      <w:r w:rsidRPr="00D01AFF">
        <w:t>min prior to each test session.</w:t>
      </w:r>
    </w:p>
    <w:p w14:paraId="1F780A10" w14:textId="77777777" w:rsidR="00D01AFF" w:rsidRPr="00D01AFF" w:rsidRDefault="00D01AFF" w:rsidP="00D01AFF">
      <w:r w:rsidRPr="00D01AFF">
        <w:t>Plantar test</w:t>
      </w:r>
    </w:p>
    <w:p w14:paraId="5B26DA15" w14:textId="77777777" w:rsidR="00D01AFF" w:rsidRPr="00D01AFF" w:rsidRDefault="00D01AFF" w:rsidP="00D01AFF">
      <w:r w:rsidRPr="00D01AFF">
        <w:t xml:space="preserve">To evaluate the magnitude of thermal hyperalgesia, plantar test (model 7360, Ugo Basile, </w:t>
      </w:r>
      <w:proofErr w:type="spellStart"/>
      <w:r w:rsidRPr="00D01AFF">
        <w:t>Comerio</w:t>
      </w:r>
      <w:proofErr w:type="spellEnd"/>
      <w:r w:rsidRPr="00D01AFF">
        <w:t>, Italy) was used to measure hind paw withdrawal latency in response to radiant heat according to the method described elsewhere</w:t>
      </w:r>
      <w:hyperlink r:id="rId77" w:anchor="ref-CR12" w:tooltip="Hargreaves, K., Dubner, R., Brown, F., Flores, C. &amp; Joris, J. A new and sensitive method for measuring thermal nociception in cutaneous hyperalgesia. Pain 32, 77–88 (1988)." w:history="1">
        <w:r w:rsidRPr="00D01AFF">
          <w:rPr>
            <w:rStyle w:val="a7"/>
          </w:rPr>
          <w:t>12</w:t>
        </w:r>
      </w:hyperlink>
      <w:r w:rsidRPr="00D01AFF">
        <w:t>. Each rat was placed into an acrylic compartment on a clear glass surface. A moveable heat source was then put under the plantar surface of the hind paw and activated with a light beam. The intensity of the light beam was adjusted such that the withdrawal latencies in sham-operated rats was around 8–10</w:t>
      </w:r>
      <w:r w:rsidRPr="00D01AFF">
        <w:rPr>
          <w:rFonts w:ascii="MS Gothic" w:eastAsia="MS Gothic" w:hAnsi="MS Gothic" w:cs="MS Gothic" w:hint="eastAsia"/>
        </w:rPr>
        <w:t> </w:t>
      </w:r>
      <w:r w:rsidRPr="00D01AFF">
        <w:t>s. The built-in digital timer automatically recorded the response latency for paw withdrawal to the nearest 0.1</w:t>
      </w:r>
      <w:r w:rsidRPr="00D01AFF">
        <w:rPr>
          <w:rFonts w:ascii="MS Gothic" w:eastAsia="MS Gothic" w:hAnsi="MS Gothic" w:cs="MS Gothic" w:hint="eastAsia"/>
        </w:rPr>
        <w:t> </w:t>
      </w:r>
      <w:r w:rsidRPr="00D01AFF">
        <w:t>s. A cutoff time of 20</w:t>
      </w:r>
      <w:r w:rsidRPr="00D01AFF">
        <w:rPr>
          <w:rFonts w:ascii="MS Gothic" w:eastAsia="MS Gothic" w:hAnsi="MS Gothic" w:cs="MS Gothic" w:hint="eastAsia"/>
        </w:rPr>
        <w:t> </w:t>
      </w:r>
      <w:r w:rsidRPr="00D01AFF">
        <w:t>s was used to prevent tissue damage when a rat failed to respond after 20</w:t>
      </w:r>
      <w:r w:rsidRPr="00D01AFF">
        <w:rPr>
          <w:rFonts w:ascii="MS Gothic" w:eastAsia="MS Gothic" w:hAnsi="MS Gothic" w:cs="MS Gothic" w:hint="eastAsia"/>
        </w:rPr>
        <w:t> </w:t>
      </w:r>
      <w:r w:rsidRPr="00D01AFF">
        <w:t>s. The mean withdrawal latencies(s) for the left hind paw were determined from the average of two trials separated by a 5-min interval to prevent thermal sensitization.</w:t>
      </w:r>
    </w:p>
    <w:p w14:paraId="7C894266" w14:textId="77777777" w:rsidR="00D01AFF" w:rsidRPr="00D01AFF" w:rsidRDefault="00D01AFF" w:rsidP="00D01AFF">
      <w:r w:rsidRPr="00D01AFF">
        <w:t>Cold plate test</w:t>
      </w:r>
    </w:p>
    <w:p w14:paraId="38C53D0A" w14:textId="77777777" w:rsidR="00D01AFF" w:rsidRPr="00D01AFF" w:rsidRDefault="00D01AFF" w:rsidP="00D01AFF">
      <w:r w:rsidRPr="00D01AFF">
        <w:t>Cold hyperalgesia was assessed in CCI rats using a Hot/Cold Plate (model 35100, Ugo Basile) on the 14</w:t>
      </w:r>
      <w:r w:rsidRPr="00D01AFF">
        <w:rPr>
          <w:vertAlign w:val="superscript"/>
        </w:rPr>
        <w:t>th</w:t>
      </w:r>
      <w:r w:rsidRPr="00D01AFF">
        <w:t xml:space="preserve"> day after the operation. Rats were placed on a cold </w:t>
      </w:r>
      <w:proofErr w:type="gramStart"/>
      <w:r w:rsidRPr="00D01AFF">
        <w:t>stainless steel</w:t>
      </w:r>
      <w:proofErr w:type="gramEnd"/>
      <w:r w:rsidRPr="00D01AFF">
        <w:t xml:space="preserve"> plate maintained at 21°C and the latency(s) to the first lifting or shaking of the CCI hind paw was measured. A cutoff time of 180</w:t>
      </w:r>
      <w:r w:rsidRPr="00D01AFF">
        <w:rPr>
          <w:rFonts w:ascii="MS Gothic" w:eastAsia="MS Gothic" w:hAnsi="MS Gothic" w:cs="MS Gothic" w:hint="eastAsia"/>
        </w:rPr>
        <w:t> </w:t>
      </w:r>
      <w:r w:rsidRPr="00D01AFF">
        <w:t>s was imposed to prevent tissue damage.</w:t>
      </w:r>
    </w:p>
    <w:p w14:paraId="01C37763" w14:textId="77777777" w:rsidR="00D01AFF" w:rsidRPr="00D01AFF" w:rsidRDefault="00D01AFF" w:rsidP="00D01AFF">
      <w:r w:rsidRPr="00D01AFF">
        <w:t>Rotarod test</w:t>
      </w:r>
    </w:p>
    <w:p w14:paraId="42C7C0C5" w14:textId="77777777" w:rsidR="00D01AFF" w:rsidRPr="00D01AFF" w:rsidRDefault="00D01AFF" w:rsidP="00D01AFF">
      <w:r w:rsidRPr="00D01AFF">
        <w:t>The effect on motor performance was evaluated using an accelerating rotarod (model 47700, Ugo Basile) in which normal rats were placed on a rotating drum with the speed increasing from 4 to 40</w:t>
      </w:r>
      <w:r w:rsidRPr="00D01AFF">
        <w:rPr>
          <w:rFonts w:ascii="MS Gothic" w:eastAsia="MS Gothic" w:hAnsi="MS Gothic" w:cs="MS Gothic" w:hint="eastAsia"/>
        </w:rPr>
        <w:t> </w:t>
      </w:r>
      <w:r w:rsidRPr="00D01AFF">
        <w:t>rpm over 5</w:t>
      </w:r>
      <w:r w:rsidRPr="00D01AFF">
        <w:rPr>
          <w:rFonts w:ascii="MS Gothic" w:eastAsia="MS Gothic" w:hAnsi="MS Gothic" w:cs="MS Gothic" w:hint="eastAsia"/>
        </w:rPr>
        <w:t> </w:t>
      </w:r>
      <w:r w:rsidRPr="00D01AFF">
        <w:t xml:space="preserve">min, forcing them to walk forward to avoid falling. The time(s) to falling was measured. Training sessions were carried out 1 and 2 days prior to the experiments, with three trials on each day. On the experimental day, a baseline response was obtained and the effects on motor performance of liquiritigenin or its vehicle administered were assessed </w:t>
      </w:r>
      <w:r w:rsidRPr="00D01AFF">
        <w:lastRenderedPageBreak/>
        <w:t>20</w:t>
      </w:r>
      <w:r w:rsidRPr="00D01AFF">
        <w:rPr>
          <w:rFonts w:ascii="MS Gothic" w:eastAsia="MS Gothic" w:hAnsi="MS Gothic" w:cs="MS Gothic" w:hint="eastAsia"/>
        </w:rPr>
        <w:t> </w:t>
      </w:r>
      <w:r w:rsidRPr="00D01AFF">
        <w:t>min post-injection.</w:t>
      </w:r>
    </w:p>
    <w:p w14:paraId="043B1B11" w14:textId="77777777" w:rsidR="00D01AFF" w:rsidRPr="00D01AFF" w:rsidRDefault="00D01AFF" w:rsidP="00D01AFF">
      <w:r w:rsidRPr="00D01AFF">
        <w:t>Data analyses</w:t>
      </w:r>
    </w:p>
    <w:p w14:paraId="6494866D" w14:textId="0A240C10" w:rsidR="00D01AFF" w:rsidRDefault="00D01AFF" w:rsidP="00F777A5">
      <w:r w:rsidRPr="00D01AFF">
        <w:t>Data were presented as paw withdrawal threshold (gram) or latency (s) plotted as a function of time (min or days), respectively. The final data were analyzed using two-way repeated measures analysis of variance (ANOVA) (time × treatment) followed by post hoc Bonferroni test. When two data points were compared, student's t test was used. For the rotarod test, data were analyzed with one-way ANOVA followed by post hoc Bonferroni test.</w:t>
      </w:r>
    </w:p>
    <w:p w14:paraId="23EF7956" w14:textId="77777777" w:rsidR="00D01AFF" w:rsidRDefault="00D01AFF">
      <w:pPr>
        <w:widowControl/>
        <w:jc w:val="left"/>
      </w:pPr>
      <w:r>
        <w:rPr>
          <w:rFonts w:hint="eastAsia"/>
        </w:rPr>
        <w:br w:type="page"/>
      </w:r>
    </w:p>
    <w:p w14:paraId="0679CFC2" w14:textId="53F865C0" w:rsidR="00D01AFF" w:rsidRDefault="00A75605" w:rsidP="00F777A5">
      <w:r>
        <w:rPr>
          <w:rFonts w:hint="eastAsia"/>
        </w:rPr>
        <w:lastRenderedPageBreak/>
        <w:t>12.</w:t>
      </w:r>
      <w:hyperlink r:id="rId78" w:history="1">
        <w:r w:rsidR="00D55330" w:rsidRPr="00D55330">
          <w:rPr>
            <w:rStyle w:val="a7"/>
          </w:rPr>
          <w:t>Full article: Characterization of changes of pain behavior and signal transduction system in food-deprived mice</w:t>
        </w:r>
      </w:hyperlink>
    </w:p>
    <w:p w14:paraId="106F2F5F" w14:textId="77777777" w:rsidR="00D55330" w:rsidRDefault="00D55330" w:rsidP="00F777A5"/>
    <w:p w14:paraId="159DC22D" w14:textId="77777777" w:rsidR="00D55330" w:rsidRPr="00D55330" w:rsidRDefault="00D55330" w:rsidP="00D55330">
      <w:pPr>
        <w:rPr>
          <w:b/>
          <w:bCs/>
        </w:rPr>
      </w:pPr>
      <w:r w:rsidRPr="00D55330">
        <w:rPr>
          <w:rFonts w:hint="eastAsia"/>
          <w:b/>
          <w:bCs/>
        </w:rPr>
        <w:t>Characterization of changes of pain behavior and signal transduction system in food-deprived mice</w:t>
      </w:r>
    </w:p>
    <w:p w14:paraId="02AAE79E" w14:textId="602EF75C" w:rsidR="00D55330" w:rsidRDefault="00D55330" w:rsidP="00D55330">
      <w:r>
        <w:rPr>
          <w:rFonts w:hint="eastAsia"/>
        </w:rPr>
        <w:t>Sang-</w:t>
      </w:r>
      <w:proofErr w:type="spellStart"/>
      <w:r>
        <w:rPr>
          <w:rFonts w:hint="eastAsia"/>
        </w:rPr>
        <w:t>Pil</w:t>
      </w:r>
      <w:proofErr w:type="spellEnd"/>
      <w:r>
        <w:rPr>
          <w:rFonts w:hint="eastAsia"/>
        </w:rPr>
        <w:t xml:space="preserve"> </w:t>
      </w:r>
      <w:proofErr w:type="spellStart"/>
      <w:proofErr w:type="gramStart"/>
      <w:r>
        <w:rPr>
          <w:rFonts w:hint="eastAsia"/>
        </w:rPr>
        <w:t>Jang,Seong</w:t>
      </w:r>
      <w:proofErr w:type="spellEnd"/>
      <w:proofErr w:type="gramEnd"/>
      <w:r>
        <w:rPr>
          <w:rFonts w:hint="eastAsia"/>
        </w:rPr>
        <w:t xml:space="preserve">-Hwan </w:t>
      </w:r>
      <w:proofErr w:type="spellStart"/>
      <w:r>
        <w:rPr>
          <w:rFonts w:hint="eastAsia"/>
        </w:rPr>
        <w:t>Park,Jun</w:t>
      </w:r>
      <w:proofErr w:type="spellEnd"/>
      <w:r>
        <w:rPr>
          <w:rFonts w:hint="eastAsia"/>
        </w:rPr>
        <w:t xml:space="preserve">-Sub </w:t>
      </w:r>
      <w:proofErr w:type="spellStart"/>
      <w:r>
        <w:rPr>
          <w:rFonts w:hint="eastAsia"/>
        </w:rPr>
        <w:t>Jung,Hee</w:t>
      </w:r>
      <w:proofErr w:type="spellEnd"/>
      <w:r>
        <w:rPr>
          <w:rFonts w:hint="eastAsia"/>
        </w:rPr>
        <w:t xml:space="preserve">-Jung </w:t>
      </w:r>
      <w:proofErr w:type="spellStart"/>
      <w:r>
        <w:rPr>
          <w:rFonts w:hint="eastAsia"/>
        </w:rPr>
        <w:t>Lee,Jung</w:t>
      </w:r>
      <w:proofErr w:type="spellEnd"/>
      <w:r>
        <w:rPr>
          <w:rFonts w:hint="eastAsia"/>
        </w:rPr>
        <w:t xml:space="preserve">-Woo </w:t>
      </w:r>
      <w:proofErr w:type="spellStart"/>
      <w:r>
        <w:rPr>
          <w:rFonts w:hint="eastAsia"/>
        </w:rPr>
        <w:t>Hong,Jae</w:t>
      </w:r>
      <w:proofErr w:type="spellEnd"/>
      <w:r>
        <w:rPr>
          <w:rFonts w:hint="eastAsia"/>
        </w:rPr>
        <w:t>-Yong Lee &amp;Hong-Won Suh</w:t>
      </w:r>
    </w:p>
    <w:p w14:paraId="668F2FB4" w14:textId="77777777" w:rsidR="00D55330" w:rsidRDefault="00D55330" w:rsidP="00D55330"/>
    <w:p w14:paraId="302649C9" w14:textId="77777777" w:rsidR="00D55330" w:rsidRDefault="00D55330" w:rsidP="00D55330"/>
    <w:p w14:paraId="631E17A3" w14:textId="452F8526" w:rsidR="00D55330" w:rsidRDefault="00D55330" w:rsidP="00D55330">
      <w:r>
        <w:rPr>
          <w:rFonts w:hint="eastAsia"/>
          <w:noProof/>
        </w:rPr>
        <w:drawing>
          <wp:inline distT="0" distB="0" distL="0" distR="0" wp14:anchorId="3308113F" wp14:editId="16188192">
            <wp:extent cx="4762500" cy="4086225"/>
            <wp:effectExtent l="0" t="0" r="0" b="9525"/>
            <wp:docPr id="197412114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62500" cy="4086225"/>
                    </a:xfrm>
                    <a:prstGeom prst="rect">
                      <a:avLst/>
                    </a:prstGeom>
                    <a:noFill/>
                  </pic:spPr>
                </pic:pic>
              </a:graphicData>
            </a:graphic>
          </wp:inline>
        </w:drawing>
      </w:r>
    </w:p>
    <w:p w14:paraId="79EE30CD" w14:textId="536A3C35" w:rsidR="00D55330" w:rsidRDefault="00D55330" w:rsidP="00D55330">
      <w:r w:rsidRPr="00D55330">
        <w:t> Nociceptive behavioral changes in food deprived group in various types of pain models. The mice were forced into food deprivation for 12, 24, or 48</w:t>
      </w:r>
      <w:r w:rsidRPr="00D55330">
        <w:rPr>
          <w:rFonts w:ascii="MS Gothic" w:eastAsia="MS Gothic" w:hAnsi="MS Gothic" w:cs="MS Gothic" w:hint="eastAsia"/>
        </w:rPr>
        <w:t> </w:t>
      </w:r>
      <w:r w:rsidRPr="00D55330">
        <w:t>h. Then, alteration of pain behaviors induced by (A) 1% acetic acid (</w:t>
      </w:r>
      <w:proofErr w:type="spellStart"/>
      <w:r w:rsidRPr="00D55330">
        <w:t>i.p.</w:t>
      </w:r>
      <w:proofErr w:type="spellEnd"/>
      <w:r w:rsidRPr="00D55330">
        <w:t>), (B) 5% formalin (</w:t>
      </w:r>
      <w:proofErr w:type="spellStart"/>
      <w:r w:rsidRPr="00D55330">
        <w:t>intraplantar</w:t>
      </w:r>
      <w:proofErr w:type="spellEnd"/>
      <w:r w:rsidRPr="00D55330">
        <w:t xml:space="preserve"> injection into the hind-paw), (C) tail-flick or (D) mechanical pain stimulation by von-</w:t>
      </w:r>
      <w:proofErr w:type="spellStart"/>
      <w:r w:rsidRPr="00D55330">
        <w:t>frey</w:t>
      </w:r>
      <w:proofErr w:type="spellEnd"/>
      <w:r w:rsidRPr="00D55330">
        <w:t xml:space="preserve"> were assessed. The number of writhing </w:t>
      </w:r>
      <w:proofErr w:type="gramStart"/>
      <w:r w:rsidRPr="00D55330">
        <w:t>response</w:t>
      </w:r>
      <w:proofErr w:type="gramEnd"/>
      <w:r w:rsidRPr="00D55330">
        <w:t xml:space="preserve"> was counted for 30 min after acetic acid injection. In the formalin pain test, the pain behaviors such as vigorous licking and shaking paws were counted during the first (0–5 min) and the second (20–40 min) phases using a stop watch. The response time of tail-flick to radiant heat was measured. The mechanical pain threshold was measured by von-</w:t>
      </w:r>
      <w:proofErr w:type="spellStart"/>
      <w:r w:rsidRPr="00D55330">
        <w:t>frey</w:t>
      </w:r>
      <w:proofErr w:type="spellEnd"/>
      <w:r w:rsidRPr="00D55330">
        <w:t>. The vertical bars indicate the standard error of mean (*</w:t>
      </w:r>
      <w:r w:rsidRPr="00D55330">
        <w:rPr>
          <w:i/>
          <w:iCs/>
        </w:rPr>
        <w:t>P</w:t>
      </w:r>
      <w:r w:rsidRPr="00D55330">
        <w:rPr>
          <w:rFonts w:ascii="MS Gothic" w:eastAsia="MS Gothic" w:hAnsi="MS Gothic" w:cs="MS Gothic" w:hint="eastAsia"/>
        </w:rPr>
        <w:t> </w:t>
      </w:r>
      <w:r w:rsidRPr="00D55330">
        <w:t>&lt;</w:t>
      </w:r>
      <w:r w:rsidRPr="00D55330">
        <w:rPr>
          <w:rFonts w:ascii="MS Gothic" w:eastAsia="MS Gothic" w:hAnsi="MS Gothic" w:cs="MS Gothic" w:hint="eastAsia"/>
        </w:rPr>
        <w:t> </w:t>
      </w:r>
      <w:r w:rsidRPr="00D55330">
        <w:t>0.05, **</w:t>
      </w:r>
      <w:r w:rsidRPr="00D55330">
        <w:rPr>
          <w:i/>
          <w:iCs/>
        </w:rPr>
        <w:t>p</w:t>
      </w:r>
      <w:r w:rsidRPr="00D55330">
        <w:rPr>
          <w:rFonts w:ascii="MS Gothic" w:eastAsia="MS Gothic" w:hAnsi="MS Gothic" w:cs="MS Gothic" w:hint="eastAsia"/>
          <w:i/>
          <w:iCs/>
        </w:rPr>
        <w:t> </w:t>
      </w:r>
      <w:r w:rsidRPr="00D55330">
        <w:t>&lt;</w:t>
      </w:r>
      <w:r w:rsidRPr="00D55330">
        <w:rPr>
          <w:rFonts w:ascii="MS Gothic" w:eastAsia="MS Gothic" w:hAnsi="MS Gothic" w:cs="MS Gothic" w:hint="eastAsia"/>
        </w:rPr>
        <w:t> </w:t>
      </w:r>
      <w:r w:rsidRPr="00D55330">
        <w:t>0.01, ***</w:t>
      </w:r>
      <w:r w:rsidRPr="00D55330">
        <w:rPr>
          <w:i/>
          <w:iCs/>
        </w:rPr>
        <w:t>p</w:t>
      </w:r>
      <w:r w:rsidRPr="00D55330">
        <w:rPr>
          <w:rFonts w:ascii="MS Gothic" w:eastAsia="MS Gothic" w:hAnsi="MS Gothic" w:cs="MS Gothic" w:hint="eastAsia"/>
          <w:i/>
          <w:iCs/>
        </w:rPr>
        <w:t> </w:t>
      </w:r>
      <w:r w:rsidRPr="00D55330">
        <w:rPr>
          <w:i/>
          <w:iCs/>
        </w:rPr>
        <w:t>&lt;</w:t>
      </w:r>
      <w:r w:rsidRPr="00D55330">
        <w:rPr>
          <w:rFonts w:ascii="MS Gothic" w:eastAsia="MS Gothic" w:hAnsi="MS Gothic" w:cs="MS Gothic" w:hint="eastAsia"/>
          <w:i/>
          <w:iCs/>
        </w:rPr>
        <w:t> </w:t>
      </w:r>
      <w:r w:rsidRPr="00D55330">
        <w:t>0.001 compared to Control group. ++</w:t>
      </w:r>
      <w:r w:rsidRPr="00D55330">
        <w:rPr>
          <w:i/>
          <w:iCs/>
        </w:rPr>
        <w:t>P</w:t>
      </w:r>
      <w:r w:rsidRPr="00D55330">
        <w:rPr>
          <w:rFonts w:ascii="MS Gothic" w:eastAsia="MS Gothic" w:hAnsi="MS Gothic" w:cs="MS Gothic" w:hint="eastAsia"/>
        </w:rPr>
        <w:t> </w:t>
      </w:r>
      <w:r w:rsidRPr="00D55330">
        <w:t>&lt;</w:t>
      </w:r>
      <w:r w:rsidRPr="00D55330">
        <w:rPr>
          <w:rFonts w:ascii="MS Gothic" w:eastAsia="MS Gothic" w:hAnsi="MS Gothic" w:cs="MS Gothic" w:hint="eastAsia"/>
        </w:rPr>
        <w:t> </w:t>
      </w:r>
      <w:r w:rsidRPr="00D55330">
        <w:t>0.001, +++</w:t>
      </w:r>
      <w:r w:rsidRPr="00D55330">
        <w:rPr>
          <w:i/>
          <w:iCs/>
        </w:rPr>
        <w:t>P</w:t>
      </w:r>
      <w:r w:rsidRPr="00D55330">
        <w:rPr>
          <w:rFonts w:ascii="MS Gothic" w:eastAsia="MS Gothic" w:hAnsi="MS Gothic" w:cs="MS Gothic" w:hint="eastAsia"/>
          <w:i/>
          <w:iCs/>
        </w:rPr>
        <w:t> </w:t>
      </w:r>
      <w:r w:rsidRPr="00D55330">
        <w:t>&lt;</w:t>
      </w:r>
      <w:r w:rsidRPr="00D55330">
        <w:rPr>
          <w:rFonts w:ascii="MS Gothic" w:eastAsia="MS Gothic" w:hAnsi="MS Gothic" w:cs="MS Gothic" w:hint="eastAsia"/>
        </w:rPr>
        <w:t> </w:t>
      </w:r>
      <w:r w:rsidRPr="00D55330">
        <w:t xml:space="preserve">0.0001; compared to Control group). The mice number of </w:t>
      </w:r>
      <w:proofErr w:type="gramStart"/>
      <w:r w:rsidRPr="00D55330">
        <w:t>animal</w:t>
      </w:r>
      <w:proofErr w:type="gramEnd"/>
      <w:r w:rsidRPr="00D55330">
        <w:t xml:space="preserve"> used in each group was 8.</w:t>
      </w:r>
    </w:p>
    <w:p w14:paraId="59D52EA8" w14:textId="77777777" w:rsidR="00D55330" w:rsidRDefault="00D55330" w:rsidP="00D55330"/>
    <w:p w14:paraId="5D0DE818" w14:textId="77777777" w:rsidR="00D55330" w:rsidRDefault="00D55330" w:rsidP="00D55330"/>
    <w:p w14:paraId="6AFE42B5" w14:textId="77777777" w:rsidR="00D55330" w:rsidRPr="00D55330" w:rsidRDefault="00D55330" w:rsidP="00D55330">
      <w:pPr>
        <w:rPr>
          <w:b/>
          <w:bCs/>
        </w:rPr>
      </w:pPr>
      <w:r w:rsidRPr="00D55330">
        <w:rPr>
          <w:b/>
          <w:bCs/>
        </w:rPr>
        <w:t>Nociceptive models and pain behavior measurements</w:t>
      </w:r>
    </w:p>
    <w:p w14:paraId="3751FE15" w14:textId="77777777" w:rsidR="00D55330" w:rsidRPr="00D55330" w:rsidRDefault="00D55330" w:rsidP="00D55330">
      <w:r w:rsidRPr="00D55330">
        <w:lastRenderedPageBreak/>
        <w:t>For the visceral pain model (</w:t>
      </w:r>
      <w:proofErr w:type="spellStart"/>
      <w:r w:rsidRPr="00D55330">
        <w:t>Koster</w:t>
      </w:r>
      <w:proofErr w:type="spellEnd"/>
      <w:r w:rsidRPr="00D55330">
        <w:t xml:space="preserve"> et al. </w:t>
      </w:r>
      <w:hyperlink r:id="rId80" w:history="1">
        <w:r w:rsidRPr="00D55330">
          <w:rPr>
            <w:rStyle w:val="a7"/>
          </w:rPr>
          <w:t>Citation1959</w:t>
        </w:r>
      </w:hyperlink>
      <w:r w:rsidRPr="00D55330">
        <w:t xml:space="preserve">), 1% acetic acid was injected intraperitoneally. The number of writhing </w:t>
      </w:r>
      <w:proofErr w:type="gramStart"/>
      <w:r w:rsidRPr="00D55330">
        <w:t>response</w:t>
      </w:r>
      <w:proofErr w:type="gramEnd"/>
      <w:r w:rsidRPr="00D55330">
        <w:t xml:space="preserve"> was counted for 30 min after acetic acid injection. For the formalin pain model (</w:t>
      </w:r>
      <w:proofErr w:type="spellStart"/>
      <w:r w:rsidRPr="00D55330">
        <w:t>Hunskaar</w:t>
      </w:r>
      <w:proofErr w:type="spellEnd"/>
      <w:r w:rsidRPr="00D55330">
        <w:t xml:space="preserve"> et al. </w:t>
      </w:r>
      <w:hyperlink r:id="rId81" w:history="1">
        <w:r w:rsidRPr="00D55330">
          <w:rPr>
            <w:rStyle w:val="a7"/>
          </w:rPr>
          <w:t>Citation1985</w:t>
        </w:r>
      </w:hyperlink>
      <w:r w:rsidRPr="00D55330">
        <w:t xml:space="preserve">; </w:t>
      </w:r>
      <w:proofErr w:type="spellStart"/>
      <w:r w:rsidRPr="00D55330">
        <w:t>Hunskaar</w:t>
      </w:r>
      <w:proofErr w:type="spellEnd"/>
      <w:r w:rsidRPr="00D55330">
        <w:t xml:space="preserve"> and Hole </w:t>
      </w:r>
      <w:hyperlink r:id="rId82" w:history="1">
        <w:r w:rsidRPr="00D55330">
          <w:rPr>
            <w:rStyle w:val="a7"/>
          </w:rPr>
          <w:t>Citation1987</w:t>
        </w:r>
      </w:hyperlink>
      <w:r w:rsidRPr="00D55330">
        <w:t xml:space="preserve">), 10 </w:t>
      </w:r>
      <w:proofErr w:type="spellStart"/>
      <w:r w:rsidRPr="00D55330">
        <w:t>μl</w:t>
      </w:r>
      <w:proofErr w:type="spellEnd"/>
      <w:r w:rsidRPr="00D55330">
        <w:t xml:space="preserve"> of 5% formalin was injected subcutaneously under the plantar surface of the left </w:t>
      </w:r>
      <w:proofErr w:type="spellStart"/>
      <w:r w:rsidRPr="00D55330">
        <w:t>hind</w:t>
      </w:r>
      <w:proofErr w:type="spellEnd"/>
      <w:r w:rsidRPr="00D55330">
        <w:t>-paw. The pain behaviors such as shaking and licking the hind-paws were counted during the first (0–5 min) and the second (20–40 min) phases using a stop watch. The mechanical allodynia was assessed by von-</w:t>
      </w:r>
      <w:proofErr w:type="spellStart"/>
      <w:r w:rsidRPr="00D55330">
        <w:t>frey</w:t>
      </w:r>
      <w:proofErr w:type="spellEnd"/>
      <w:r w:rsidRPr="00D55330">
        <w:t xml:space="preserve"> tests (Bonin et al. </w:t>
      </w:r>
      <w:hyperlink r:id="rId83" w:history="1">
        <w:r w:rsidRPr="00D55330">
          <w:rPr>
            <w:rStyle w:val="a7"/>
          </w:rPr>
          <w:t>Citation2014</w:t>
        </w:r>
      </w:hyperlink>
      <w:r w:rsidRPr="00D55330">
        <w:t>). For the von-</w:t>
      </w:r>
      <w:proofErr w:type="spellStart"/>
      <w:r w:rsidRPr="00D55330">
        <w:t>frey</w:t>
      </w:r>
      <w:proofErr w:type="spellEnd"/>
      <w:r w:rsidRPr="00D55330">
        <w:t xml:space="preserve"> test, mice were individually placed in a </w:t>
      </w:r>
      <w:proofErr w:type="gramStart"/>
      <w:r w:rsidRPr="00D55330">
        <w:t>clear glass cells</w:t>
      </w:r>
      <w:proofErr w:type="gramEnd"/>
      <w:r w:rsidRPr="00D55330">
        <w:t xml:space="preserve"> with a metal mesh floor allowed to adapt to the testing environment for 30 min, and then von-</w:t>
      </w:r>
      <w:proofErr w:type="spellStart"/>
      <w:r w:rsidRPr="00D55330">
        <w:t>frey</w:t>
      </w:r>
      <w:proofErr w:type="spellEnd"/>
      <w:r w:rsidRPr="00D55330">
        <w:t xml:space="preserve"> filaments (North Coast Medical, Inc., Gilroy, CA, USA) were applied to the plantar surface using an up and down paradigm. The number of </w:t>
      </w:r>
      <w:proofErr w:type="gramStart"/>
      <w:r w:rsidRPr="00D55330">
        <w:t>animal</w:t>
      </w:r>
      <w:proofErr w:type="gramEnd"/>
      <w:r w:rsidRPr="00D55330">
        <w:t xml:space="preserve"> used in the experiment was 8 in each group.</w:t>
      </w:r>
    </w:p>
    <w:p w14:paraId="5F8D4DDC" w14:textId="77777777" w:rsidR="00D55330" w:rsidRPr="00D55330" w:rsidRDefault="00D55330" w:rsidP="00D55330">
      <w:pPr>
        <w:rPr>
          <w:b/>
          <w:bCs/>
        </w:rPr>
      </w:pPr>
      <w:r w:rsidRPr="00D55330">
        <w:rPr>
          <w:b/>
          <w:bCs/>
        </w:rPr>
        <w:t>Protein extraction and western blotting</w:t>
      </w:r>
    </w:p>
    <w:p w14:paraId="4AF0CFC8" w14:textId="77777777" w:rsidR="00D55330" w:rsidRPr="00D55330" w:rsidRDefault="00D55330" w:rsidP="00D55330">
      <w:r w:rsidRPr="00D55330">
        <w:t>The DRG and spinal cord of mice was dissected. Tissue was washed two times with cold Tris-buffered saline (20</w:t>
      </w:r>
      <w:r w:rsidRPr="00D55330">
        <w:rPr>
          <w:rFonts w:ascii="MS Gothic" w:eastAsia="MS Gothic" w:hAnsi="MS Gothic" w:cs="MS Gothic" w:hint="eastAsia"/>
        </w:rPr>
        <w:t> </w:t>
      </w:r>
      <w:r w:rsidRPr="00D55330">
        <w:t xml:space="preserve">mmol/L </w:t>
      </w:r>
      <w:proofErr w:type="spellStart"/>
      <w:r w:rsidRPr="00D55330">
        <w:t>Trizma</w:t>
      </w:r>
      <w:proofErr w:type="spellEnd"/>
      <w:r w:rsidRPr="00D55330">
        <w:t xml:space="preserve"> base and 137</w:t>
      </w:r>
      <w:r w:rsidRPr="00D55330">
        <w:rPr>
          <w:rFonts w:ascii="MS Gothic" w:eastAsia="MS Gothic" w:hAnsi="MS Gothic" w:cs="MS Gothic" w:hint="eastAsia"/>
        </w:rPr>
        <w:t> </w:t>
      </w:r>
      <w:r w:rsidRPr="00D55330">
        <w:t>mmol/L NaCl, pH 7.5). Immediately after washing, tissues were lysed with sodium dodecyl sulfate lysis buffer (62.5</w:t>
      </w:r>
      <w:r w:rsidRPr="00D55330">
        <w:rPr>
          <w:rFonts w:ascii="MS Gothic" w:eastAsia="MS Gothic" w:hAnsi="MS Gothic" w:cs="MS Gothic" w:hint="eastAsia"/>
        </w:rPr>
        <w:t> </w:t>
      </w:r>
      <w:r w:rsidRPr="00D55330">
        <w:t xml:space="preserve">mmol/L </w:t>
      </w:r>
      <w:proofErr w:type="spellStart"/>
      <w:r w:rsidRPr="00D55330">
        <w:t>Trizma</w:t>
      </w:r>
      <w:proofErr w:type="spellEnd"/>
      <w:r w:rsidRPr="00D55330">
        <w:t xml:space="preserve"> base, 2% w/v sodium dodecyl sulfate, 10% glycerol) containing 0.1</w:t>
      </w:r>
      <w:r w:rsidRPr="00D55330">
        <w:rPr>
          <w:rFonts w:ascii="MS Gothic" w:eastAsia="MS Gothic" w:hAnsi="MS Gothic" w:cs="MS Gothic" w:hint="eastAsia"/>
        </w:rPr>
        <w:t> </w:t>
      </w:r>
      <w:r w:rsidRPr="00D55330">
        <w:t>mmol/L Na3VO4, 3</w:t>
      </w:r>
      <w:r w:rsidRPr="00D55330">
        <w:rPr>
          <w:rFonts w:ascii="MS Gothic" w:eastAsia="MS Gothic" w:hAnsi="MS Gothic" w:cs="MS Gothic" w:hint="eastAsia"/>
        </w:rPr>
        <w:t> </w:t>
      </w:r>
      <w:r w:rsidRPr="00D55330">
        <w:t xml:space="preserve">mg/mL </w:t>
      </w:r>
      <w:proofErr w:type="spellStart"/>
      <w:r w:rsidRPr="00D55330">
        <w:t>aprotonin</w:t>
      </w:r>
      <w:proofErr w:type="spellEnd"/>
      <w:r w:rsidRPr="00D55330">
        <w:t xml:space="preserve">, and 20mmolL </w:t>
      </w:r>
      <w:proofErr w:type="spellStart"/>
      <w:r w:rsidRPr="00D55330">
        <w:t>NaF</w:t>
      </w:r>
      <w:proofErr w:type="spellEnd"/>
      <w:r w:rsidRPr="00D55330">
        <w:t>. After brief sonication, the concentration of protein was determined with a detergent-compatible protein assay reagent (Bio-Rad Laboratories, Hercules, CA, USA) using bovine serum albumin as the standard. After adding bromophenol blue (0.1% w/v), the proteins were boiled, separated by electrophoresis in 6%–10% polyacrylamide gels, and transferred onto the polyvinylidene difluoride membrane (Millipore, Bedford, MA, USA). The membranes were immunoblotted with antibodies p-AMPKα</w:t>
      </w:r>
      <w:r w:rsidRPr="00D55330">
        <w:rPr>
          <w:vertAlign w:val="subscript"/>
        </w:rPr>
        <w:t>1</w:t>
      </w:r>
      <w:r w:rsidRPr="00D55330">
        <w:t> (Santa Cruz, 1:1000), p-mTOR (Abcam, 1:1000), p-ERK1/2 (Abcam, 1:1000), p-CREB (Abcam, 1:1000) and β-actin (Cell Signaling Technology, 1:1000) in blocking buffer for overnight. Membranes were then washed 4 times with Tris-buffered saline containing 20% Tween-20 (TBST; 10</w:t>
      </w:r>
      <w:r w:rsidRPr="00D55330">
        <w:rPr>
          <w:rFonts w:ascii="MS Gothic" w:eastAsia="MS Gothic" w:hAnsi="MS Gothic" w:cs="MS Gothic" w:hint="eastAsia"/>
        </w:rPr>
        <w:t> </w:t>
      </w:r>
      <w:r w:rsidRPr="00D55330">
        <w:t xml:space="preserve">mM </w:t>
      </w:r>
      <w:proofErr w:type="spellStart"/>
      <w:r w:rsidRPr="00D55330">
        <w:t>Trizma</w:t>
      </w:r>
      <w:proofErr w:type="spellEnd"/>
      <w:r w:rsidRPr="00D55330">
        <w:t xml:space="preserve"> base, pH8.0, 150</w:t>
      </w:r>
      <w:r w:rsidRPr="00D55330">
        <w:rPr>
          <w:rFonts w:ascii="MS Gothic" w:eastAsia="MS Gothic" w:hAnsi="MS Gothic" w:cs="MS Gothic" w:hint="eastAsia"/>
        </w:rPr>
        <w:t> </w:t>
      </w:r>
      <w:r w:rsidRPr="00D55330">
        <w:t>mM NaCl, and 20% Tween 20) for 20 min and then incubated with the anti-rabbit IgG-horseradish peroxidase conjugate (1:4000) in blocking buffer at room temperature for 1</w:t>
      </w:r>
      <w:r w:rsidRPr="00D55330">
        <w:rPr>
          <w:rFonts w:ascii="MS Gothic" w:eastAsia="MS Gothic" w:hAnsi="MS Gothic" w:cs="MS Gothic" w:hint="eastAsia"/>
        </w:rPr>
        <w:t> </w:t>
      </w:r>
      <w:r w:rsidRPr="00D55330">
        <w:t>h. After washing the membranes with TBST for 20 min (4 times), ECL-plus solution (Millipore, Billerica, MA, USA) was added. The membranes were then exposed to Luminescent Image Analyzer (LAS-4000, Fuji Film Co., Japan) for the detection of light emission. The specific signals were quantified with the Multi-Gauge Version 3.1 (Fuji Film, Japan) and expressed as the percentage of the control.</w:t>
      </w:r>
    </w:p>
    <w:p w14:paraId="4CC2170D" w14:textId="6A342862" w:rsidR="00D55330" w:rsidRDefault="00D55330">
      <w:pPr>
        <w:widowControl/>
        <w:jc w:val="left"/>
      </w:pPr>
      <w:r>
        <w:rPr>
          <w:rFonts w:hint="eastAsia"/>
        </w:rPr>
        <w:br w:type="page"/>
      </w:r>
    </w:p>
    <w:p w14:paraId="6DFE1CA4" w14:textId="68AC1C7D" w:rsidR="00D55330" w:rsidRDefault="004A5E23" w:rsidP="00D55330">
      <w:hyperlink r:id="rId84" w:history="1">
        <w:r w:rsidR="00A75605">
          <w:rPr>
            <w:rFonts w:hint="eastAsia"/>
          </w:rPr>
          <w:t>13.</w:t>
        </w:r>
        <w:r w:rsidR="004E4E11" w:rsidRPr="004E4E11">
          <w:rPr>
            <w:rStyle w:val="a7"/>
          </w:rPr>
          <w:t>Chronic and intermittent administration of systemic nitroglycerin in the rat induces an increase in the gene expression of CGRP in central areas: potential contribution to pain processing | The Journal of Headache and Pain | Full Text</w:t>
        </w:r>
      </w:hyperlink>
    </w:p>
    <w:p w14:paraId="02B328B4" w14:textId="77777777" w:rsidR="004E4E11" w:rsidRDefault="004E4E11" w:rsidP="00D55330"/>
    <w:p w14:paraId="5C7F8570" w14:textId="77777777" w:rsidR="004E4E11" w:rsidRPr="004E4E11" w:rsidRDefault="004E4E11" w:rsidP="004E4E11">
      <w:pPr>
        <w:rPr>
          <w:b/>
          <w:bCs/>
        </w:rPr>
      </w:pPr>
      <w:r w:rsidRPr="004E4E11">
        <w:rPr>
          <w:rFonts w:hint="eastAsia"/>
          <w:b/>
          <w:bCs/>
        </w:rPr>
        <w:t>Chronic and intermittent administration of systemic nitroglycerin in the rat induces an increase in the gene expression of CGRP in central areas: potential contribution to pain processing</w:t>
      </w:r>
    </w:p>
    <w:p w14:paraId="15E6690F" w14:textId="232F10D3" w:rsidR="004E4E11" w:rsidRDefault="004E4E11" w:rsidP="004E4E11">
      <w:r>
        <w:rPr>
          <w:rFonts w:hint="eastAsia"/>
        </w:rPr>
        <w:t xml:space="preserve">Rosaria Greco, Chiara </w:t>
      </w:r>
      <w:proofErr w:type="spellStart"/>
      <w:r>
        <w:rPr>
          <w:rFonts w:hint="eastAsia"/>
        </w:rPr>
        <w:t>Demartini</w:t>
      </w:r>
      <w:proofErr w:type="spellEnd"/>
      <w:r>
        <w:rPr>
          <w:rFonts w:hint="eastAsia"/>
        </w:rPr>
        <w:t xml:space="preserve">, Anna Maria </w:t>
      </w:r>
      <w:proofErr w:type="spellStart"/>
      <w:r>
        <w:rPr>
          <w:rFonts w:hint="eastAsia"/>
        </w:rPr>
        <w:t>Zanaboni</w:t>
      </w:r>
      <w:proofErr w:type="spellEnd"/>
      <w:r>
        <w:rPr>
          <w:rFonts w:hint="eastAsia"/>
        </w:rPr>
        <w:t xml:space="preserve"> &amp; Cristina </w:t>
      </w:r>
      <w:proofErr w:type="spellStart"/>
      <w:r>
        <w:rPr>
          <w:rFonts w:hint="eastAsia"/>
        </w:rPr>
        <w:t>Tassorelli</w:t>
      </w:r>
      <w:proofErr w:type="spellEnd"/>
    </w:p>
    <w:p w14:paraId="40C6D2D2" w14:textId="77777777" w:rsidR="004E4E11" w:rsidRDefault="004E4E11" w:rsidP="004E4E11"/>
    <w:p w14:paraId="6268250E" w14:textId="3E2F9158" w:rsidR="004E4E11" w:rsidRDefault="004E4E11" w:rsidP="004E4E11">
      <w:r>
        <w:rPr>
          <w:rFonts w:hint="eastAsia"/>
          <w:noProof/>
        </w:rPr>
        <w:drawing>
          <wp:inline distT="0" distB="0" distL="0" distR="0" wp14:anchorId="0BAA5527" wp14:editId="3414FEF4">
            <wp:extent cx="6213306" cy="1641764"/>
            <wp:effectExtent l="0" t="0" r="0" b="0"/>
            <wp:docPr id="15820703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243050" cy="1649623"/>
                    </a:xfrm>
                    <a:prstGeom prst="rect">
                      <a:avLst/>
                    </a:prstGeom>
                    <a:noFill/>
                  </pic:spPr>
                </pic:pic>
              </a:graphicData>
            </a:graphic>
          </wp:inline>
        </w:drawing>
      </w:r>
    </w:p>
    <w:p w14:paraId="366600A7" w14:textId="768124E1" w:rsidR="004E4E11" w:rsidRDefault="004E4E11" w:rsidP="004E4E11">
      <w:r w:rsidRPr="004E4E11">
        <w:rPr>
          <w:b/>
          <w:bCs/>
        </w:rPr>
        <w:t>a</w:t>
      </w:r>
      <w:r w:rsidRPr="004E4E11">
        <w:t> Nociceptive thermal threshold (tail flick test) and </w:t>
      </w:r>
      <w:r w:rsidRPr="004E4E11">
        <w:rPr>
          <w:b/>
          <w:bCs/>
        </w:rPr>
        <w:t>b</w:t>
      </w:r>
      <w:r w:rsidRPr="004E4E11">
        <w:t> orofacial mechanical allodynia (Von Frey test) following chronic and intermittent NTG administration and chronic topiramate (TOP) treatment in rats. CT</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NTG vehicle + TOP vehicle (</w:t>
      </w:r>
      <w:r w:rsidRPr="004E4E11">
        <w:rPr>
          <w:i/>
          <w:iCs/>
        </w:rPr>
        <w:t>n</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13); NTG</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NTG</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TOP vehicle (</w:t>
      </w:r>
      <w:r w:rsidRPr="004E4E11">
        <w:rPr>
          <w:i/>
          <w:iCs/>
        </w:rPr>
        <w:t>n</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12); TOP</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NTG vehicle + Topiramate (</w:t>
      </w:r>
      <w:r w:rsidRPr="004E4E11">
        <w:rPr>
          <w:i/>
          <w:iCs/>
        </w:rPr>
        <w:t>n</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8); NTG</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TOP</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NTG</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Topiramate (</w:t>
      </w:r>
      <w:r w:rsidRPr="004E4E11">
        <w:rPr>
          <w:i/>
          <w:iCs/>
        </w:rPr>
        <w:t>n</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8). Data are expressed as mean</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SEM; two-way ANOVA followed by Bonferroni post hoc tests, F</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6.019 for tail flick test; F</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4.091 for Von Frey test. *</w:t>
      </w:r>
      <w:r w:rsidRPr="004E4E11">
        <w:rPr>
          <w:i/>
          <w:iCs/>
        </w:rPr>
        <w:t>p</w:t>
      </w:r>
      <w:r w:rsidRPr="004E4E11">
        <w:rPr>
          <w:rFonts w:ascii="MS Gothic" w:eastAsia="MS Gothic" w:hAnsi="MS Gothic" w:cs="MS Gothic" w:hint="eastAsia"/>
        </w:rPr>
        <w:t> </w:t>
      </w:r>
      <w:r w:rsidRPr="004E4E11">
        <w:t>&lt;</w:t>
      </w:r>
      <w:r w:rsidRPr="004E4E11">
        <w:rPr>
          <w:rFonts w:ascii="MS Gothic" w:eastAsia="MS Gothic" w:hAnsi="MS Gothic" w:cs="MS Gothic" w:hint="eastAsia"/>
        </w:rPr>
        <w:t> </w:t>
      </w:r>
      <w:r w:rsidRPr="004E4E11">
        <w:t xml:space="preserve">0.05 vs NTG baseline; </w:t>
      </w:r>
      <w:r w:rsidRPr="004E4E11">
        <w:rPr>
          <w:rFonts w:ascii="等线" w:eastAsia="等线" w:hAnsi="等线" w:cs="等线" w:hint="eastAsia"/>
        </w:rPr>
        <w:t>°</w:t>
      </w:r>
      <w:r w:rsidRPr="004E4E11">
        <w:rPr>
          <w:i/>
          <w:iCs/>
        </w:rPr>
        <w:t>p</w:t>
      </w:r>
      <w:r w:rsidRPr="004E4E11">
        <w:rPr>
          <w:rFonts w:ascii="MS Gothic" w:eastAsia="MS Gothic" w:hAnsi="MS Gothic" w:cs="MS Gothic" w:hint="eastAsia"/>
        </w:rPr>
        <w:t> </w:t>
      </w:r>
      <w:r w:rsidRPr="004E4E11">
        <w:t>&lt;</w:t>
      </w:r>
      <w:r w:rsidRPr="004E4E11">
        <w:rPr>
          <w:rFonts w:ascii="MS Gothic" w:eastAsia="MS Gothic" w:hAnsi="MS Gothic" w:cs="MS Gothic" w:hint="eastAsia"/>
        </w:rPr>
        <w:t> </w:t>
      </w:r>
      <w:r w:rsidRPr="004E4E11">
        <w:t>0.05 vs NTG</w:t>
      </w:r>
      <w:r w:rsidRPr="004E4E11">
        <w:rPr>
          <w:rFonts w:ascii="MS Gothic" w:eastAsia="MS Gothic" w:hAnsi="MS Gothic" w:cs="MS Gothic" w:hint="eastAsia"/>
        </w:rPr>
        <w:t> </w:t>
      </w:r>
      <w:r w:rsidRPr="004E4E11">
        <w:t>+</w:t>
      </w:r>
      <w:r w:rsidRPr="004E4E11">
        <w:rPr>
          <w:rFonts w:ascii="MS Gothic" w:eastAsia="MS Gothic" w:hAnsi="MS Gothic" w:cs="MS Gothic" w:hint="eastAsia"/>
        </w:rPr>
        <w:t> </w:t>
      </w:r>
      <w:r w:rsidRPr="004E4E11">
        <w:t>TOP baseline; #</w:t>
      </w:r>
      <w:r w:rsidRPr="004E4E11">
        <w:rPr>
          <w:i/>
          <w:iCs/>
        </w:rPr>
        <w:t>p</w:t>
      </w:r>
      <w:r w:rsidRPr="004E4E11">
        <w:rPr>
          <w:rFonts w:ascii="MS Gothic" w:eastAsia="MS Gothic" w:hAnsi="MS Gothic" w:cs="MS Gothic" w:hint="eastAsia"/>
        </w:rPr>
        <w:t> </w:t>
      </w:r>
      <w:r w:rsidRPr="004E4E11">
        <w:t>&lt;</w:t>
      </w:r>
      <w:r w:rsidRPr="004E4E11">
        <w:rPr>
          <w:rFonts w:ascii="MS Gothic" w:eastAsia="MS Gothic" w:hAnsi="MS Gothic" w:cs="MS Gothic" w:hint="eastAsia"/>
        </w:rPr>
        <w:t> </w:t>
      </w:r>
      <w:r w:rsidRPr="004E4E11">
        <w:t>0.05 vs CT and TOP 1</w:t>
      </w:r>
      <w:r w:rsidRPr="004E4E11">
        <w:rPr>
          <w:rFonts w:ascii="等线" w:eastAsia="等线" w:hAnsi="等线" w:cs="等线" w:hint="eastAsia"/>
        </w:rPr>
        <w:t> </w:t>
      </w:r>
      <w:r w:rsidRPr="004E4E11">
        <w:t xml:space="preserve">day 10; </w:t>
      </w:r>
      <w:r w:rsidRPr="004E4E11">
        <w:rPr>
          <w:rFonts w:ascii="等线" w:eastAsia="等线" w:hAnsi="等线" w:cs="等线" w:hint="eastAsia"/>
        </w:rPr>
        <w:t>§</w:t>
      </w:r>
      <w:r w:rsidRPr="004E4E11">
        <w:rPr>
          <w:i/>
          <w:iCs/>
        </w:rPr>
        <w:t>p</w:t>
      </w:r>
      <w:r w:rsidRPr="004E4E11">
        <w:rPr>
          <w:rFonts w:ascii="MS Gothic" w:eastAsia="MS Gothic" w:hAnsi="MS Gothic" w:cs="MS Gothic" w:hint="eastAsia"/>
        </w:rPr>
        <w:t> </w:t>
      </w:r>
      <w:r w:rsidRPr="004E4E11">
        <w:t>&lt;</w:t>
      </w:r>
      <w:r w:rsidRPr="004E4E11">
        <w:rPr>
          <w:rFonts w:ascii="MS Gothic" w:eastAsia="MS Gothic" w:hAnsi="MS Gothic" w:cs="MS Gothic" w:hint="eastAsia"/>
        </w:rPr>
        <w:t> </w:t>
      </w:r>
      <w:r w:rsidRPr="004E4E11">
        <w:t>0.05 vs NTG day 10</w:t>
      </w:r>
    </w:p>
    <w:p w14:paraId="57A4E3F8" w14:textId="77777777" w:rsidR="004E4E11" w:rsidRDefault="004E4E11" w:rsidP="004E4E11"/>
    <w:p w14:paraId="5547AD0D" w14:textId="77777777" w:rsidR="004E4E11" w:rsidRDefault="004E4E11" w:rsidP="004E4E11"/>
    <w:p w14:paraId="06E55F36" w14:textId="77777777" w:rsidR="004E4E11" w:rsidRPr="004E4E11" w:rsidRDefault="004E4E11" w:rsidP="004E4E11">
      <w:r w:rsidRPr="004E4E11">
        <w:t>Behavioral tests</w:t>
      </w:r>
    </w:p>
    <w:p w14:paraId="28823CF0" w14:textId="77777777" w:rsidR="004E4E11" w:rsidRPr="004E4E11" w:rsidRDefault="004E4E11" w:rsidP="004E4E11">
      <w:r w:rsidRPr="004E4E11">
        <w:t>Rats underwent tail flick test and Von Frey test 30 min apart from each other at baseline and on day 10.</w:t>
      </w:r>
    </w:p>
    <w:p w14:paraId="27687E02" w14:textId="77777777" w:rsidR="004E4E11" w:rsidRPr="004E4E11" w:rsidRDefault="004E4E11" w:rsidP="004E4E11">
      <w:pPr>
        <w:rPr>
          <w:b/>
          <w:bCs/>
        </w:rPr>
      </w:pPr>
      <w:r w:rsidRPr="004E4E11">
        <w:rPr>
          <w:b/>
          <w:bCs/>
        </w:rPr>
        <w:t>Tail flick test</w:t>
      </w:r>
    </w:p>
    <w:p w14:paraId="6EB6DCC1" w14:textId="77777777" w:rsidR="004E4E11" w:rsidRPr="004E4E11" w:rsidRDefault="004E4E11" w:rsidP="004E4E11">
      <w:r w:rsidRPr="004E4E11">
        <w:t>To determine thermal sensitivity, rats were gently restrained while an infrared light beam with a temperature of 50 °C was focused on the animal’s tail. The latency of retraction of the tail from the window of the light beam was automatically captured and measured (in seconds) by means of a sensor (Ugo Basile, model 7360, Varese, Italy) [</w:t>
      </w:r>
      <w:hyperlink r:id="rId86" w:anchor="ref-CR20" w:tooltip="Greco R, Tassorelli C, Armentero MT, Sandrini G, Nappi G, Blandini F (2008) Role of central dopaminergic circuitry in pain processing and nitroglycerin-induced hyperalgesia. Brain Res 1238:215–223" w:history="1">
        <w:r w:rsidRPr="004E4E11">
          <w:rPr>
            <w:rStyle w:val="a7"/>
          </w:rPr>
          <w:t>20</w:t>
        </w:r>
      </w:hyperlink>
      <w:r w:rsidRPr="004E4E11">
        <w:t>, </w:t>
      </w:r>
      <w:hyperlink r:id="rId87" w:anchor="ref-CR21" w:tooltip="Greco R, Bandiera T, Mangione AS, Demartini C, Siani F, Nappi G, Sandrini G, Guijarro A, Armirotti A, Piomelli D, Tassorelli C (2015) Effects of peripheral FAAH blockade on NTG-induced hyperalgesia--evaluation of URB937 in an animal model of migraine. Cephalal" w:history="1">
        <w:r w:rsidRPr="004E4E11">
          <w:rPr>
            <w:rStyle w:val="a7"/>
          </w:rPr>
          <w:t>21</w:t>
        </w:r>
      </w:hyperlink>
      <w:r w:rsidRPr="004E4E11">
        <w:t>]. A cut-off limit of exposure of 20 s was set to avoid tissue damage. The final latency value for each animal was calculated as the mean of four measurements in 4 different parts of the tail, specifically at 1, 3, 5 and 7 cm from the tip.</w:t>
      </w:r>
    </w:p>
    <w:p w14:paraId="783FC3A2" w14:textId="77777777" w:rsidR="004E4E11" w:rsidRPr="004E4E11" w:rsidRDefault="004E4E11" w:rsidP="004E4E11">
      <w:pPr>
        <w:rPr>
          <w:b/>
          <w:bCs/>
        </w:rPr>
      </w:pPr>
      <w:r w:rsidRPr="004E4E11">
        <w:rPr>
          <w:b/>
          <w:bCs/>
        </w:rPr>
        <w:t xml:space="preserve">Von Frey </w:t>
      </w:r>
      <w:proofErr w:type="gramStart"/>
      <w:r w:rsidRPr="004E4E11">
        <w:rPr>
          <w:b/>
          <w:bCs/>
        </w:rPr>
        <w:t>test</w:t>
      </w:r>
      <w:proofErr w:type="gramEnd"/>
    </w:p>
    <w:p w14:paraId="414110DE" w14:textId="77777777" w:rsidR="004E4E11" w:rsidRPr="004E4E11" w:rsidRDefault="004E4E11" w:rsidP="004E4E11">
      <w:r w:rsidRPr="004E4E11">
        <w:t>For three consecutive days, prior to baseline testing, the rats were habituated to the behavioral test procedure. Rats were put in clear acrylic cages (</w:t>
      </w:r>
      <w:proofErr w:type="gramStart"/>
      <w:r w:rsidRPr="004E4E11">
        <w:t>30</w:t>
      </w:r>
      <w:r w:rsidRPr="004E4E11">
        <w:rPr>
          <w:rFonts w:ascii="MS Gothic" w:eastAsia="MS Gothic" w:hAnsi="MS Gothic" w:cs="MS Gothic" w:hint="eastAsia"/>
        </w:rPr>
        <w:t> </w:t>
      </w:r>
      <w:r w:rsidRPr="004E4E11">
        <w:rPr>
          <w:rFonts w:ascii="等线" w:eastAsia="等线" w:hAnsi="等线" w:cs="等线" w:hint="eastAsia"/>
        </w:rPr>
        <w:t>×</w:t>
      </w:r>
      <w:r w:rsidRPr="004E4E11">
        <w:rPr>
          <w:rFonts w:ascii="MS Gothic" w:eastAsia="MS Gothic" w:hAnsi="MS Gothic" w:cs="MS Gothic" w:hint="eastAsia"/>
        </w:rPr>
        <w:t> </w:t>
      </w:r>
      <w:r w:rsidRPr="004E4E11">
        <w:t>30</w:t>
      </w:r>
      <w:r w:rsidRPr="004E4E11">
        <w:rPr>
          <w:rFonts w:ascii="MS Gothic" w:eastAsia="MS Gothic" w:hAnsi="MS Gothic" w:cs="MS Gothic" w:hint="eastAsia"/>
        </w:rPr>
        <w:t> </w:t>
      </w:r>
      <w:r w:rsidRPr="004E4E11">
        <w:rPr>
          <w:rFonts w:ascii="等线" w:eastAsia="等线" w:hAnsi="等线" w:cs="等线" w:hint="eastAsia"/>
        </w:rPr>
        <w:t>×</w:t>
      </w:r>
      <w:r w:rsidRPr="004E4E11">
        <w:rPr>
          <w:rFonts w:ascii="MS Gothic" w:eastAsia="MS Gothic" w:hAnsi="MS Gothic" w:cs="MS Gothic" w:hint="eastAsia"/>
        </w:rPr>
        <w:t> </w:t>
      </w:r>
      <w:proofErr w:type="gramEnd"/>
      <w:r w:rsidRPr="004E4E11">
        <w:t>20</w:t>
      </w:r>
      <w:r w:rsidRPr="004E4E11">
        <w:rPr>
          <w:rFonts w:ascii="等线" w:eastAsia="等线" w:hAnsi="等线" w:cs="等线" w:hint="eastAsia"/>
        </w:rPr>
        <w:t> </w:t>
      </w:r>
      <w:r w:rsidRPr="004E4E11">
        <w:t>cm) and the orofacial area of the animal was stimulated with a series of Von Frey filaments (bending force ranging from 0.02 to 6</w:t>
      </w:r>
      <w:r w:rsidRPr="004E4E11">
        <w:rPr>
          <w:rFonts w:ascii="等线" w:eastAsia="等线" w:hAnsi="等线" w:cs="等线" w:hint="eastAsia"/>
        </w:rPr>
        <w:t> </w:t>
      </w:r>
      <w:r w:rsidRPr="004E4E11">
        <w:t xml:space="preserve">g). Progressively increasing filament forces were applied (each of them </w:t>
      </w:r>
      <w:r w:rsidRPr="004E4E11">
        <w:lastRenderedPageBreak/>
        <w:t>5 times every 30</w:t>
      </w:r>
      <w:r w:rsidRPr="004E4E11">
        <w:rPr>
          <w:rFonts w:ascii="等线" w:eastAsia="等线" w:hAnsi="等线" w:cs="等线" w:hint="eastAsia"/>
        </w:rPr>
        <w:t> </w:t>
      </w:r>
      <w:r w:rsidRPr="004E4E11">
        <w:t>s) to the cutaneous area on both the left and right sides of the face, over the rostral portion of the eye for periorbital testing and on the skin over the masseter muscle for jaw testing until we obtained a positive response, defined as one of the following: head withdrawal, face wipe, escape/attack. In the absence of a positive response to the starting filament (0.4 g), a heavier filament was applied whereas, with a positive response a lighter filament was tested. The mechanical threshold corresponded to the force of the filament that induced three positive responses [</w:t>
      </w:r>
      <w:hyperlink r:id="rId88" w:anchor="ref-CR29" w:tooltip="Martin YB, Avendaño C (2009) Effects of removal of dietary polyunsaturated fatty acids on plasma extravasation and mechanical allodynia in a trigeminal neuropathic pain model. Mol Pain 5:8" w:history="1">
        <w:r w:rsidRPr="004E4E11">
          <w:rPr>
            <w:rStyle w:val="a7"/>
          </w:rPr>
          <w:t>29</w:t>
        </w:r>
      </w:hyperlink>
      <w:r w:rsidRPr="004E4E11">
        <w:t>, </w:t>
      </w:r>
      <w:hyperlink r:id="rId89" w:anchor="ref-CR30" w:tooltip="Oshinsky ML, Sanghvi MM, Maxwell CR, Gonzalez D, Spangenberg RJ, Cooper M, Silberstein SD (2012) Spontaneous trigeminal allodynia in rats: a model of primary headache. Headache 52(9):1336–1349" w:history="1">
        <w:r w:rsidRPr="004E4E11">
          <w:rPr>
            <w:rStyle w:val="a7"/>
          </w:rPr>
          <w:t>30</w:t>
        </w:r>
      </w:hyperlink>
      <w:r w:rsidRPr="004E4E11">
        <w:t>].</w:t>
      </w:r>
    </w:p>
    <w:p w14:paraId="1617C7FC" w14:textId="7BC86AB0" w:rsidR="004E4E11" w:rsidRDefault="004E4E11">
      <w:pPr>
        <w:widowControl/>
        <w:jc w:val="left"/>
      </w:pPr>
      <w:r>
        <w:rPr>
          <w:rFonts w:hint="eastAsia"/>
        </w:rPr>
        <w:br w:type="page"/>
      </w:r>
    </w:p>
    <w:p w14:paraId="52B1DF84" w14:textId="402EB0D5" w:rsidR="004E4E11" w:rsidRDefault="00A75605" w:rsidP="004E4E11">
      <w:r>
        <w:rPr>
          <w:rFonts w:hint="eastAsia"/>
        </w:rPr>
        <w:lastRenderedPageBreak/>
        <w:t>14.</w:t>
      </w:r>
      <w:hyperlink r:id="rId90" w:history="1">
        <w:r w:rsidR="00131D78" w:rsidRPr="00131D78">
          <w:rPr>
            <w:rStyle w:val="a7"/>
          </w:rPr>
          <w:t>Neural correlates of hyperalgesia in the monosodium iodoacetate model of osteoarthritis pain - PMC</w:t>
        </w:r>
      </w:hyperlink>
    </w:p>
    <w:p w14:paraId="229E06A1" w14:textId="77777777" w:rsidR="00131D78" w:rsidRDefault="00131D78" w:rsidP="004E4E11"/>
    <w:p w14:paraId="45264E7D" w14:textId="77777777" w:rsidR="00131D78" w:rsidRPr="00131D78" w:rsidRDefault="00131D78" w:rsidP="00131D78">
      <w:pPr>
        <w:rPr>
          <w:b/>
          <w:bCs/>
        </w:rPr>
      </w:pPr>
      <w:r w:rsidRPr="00131D78">
        <w:rPr>
          <w:rFonts w:hint="eastAsia"/>
          <w:b/>
          <w:bCs/>
        </w:rPr>
        <w:t>Neural correlates of hyperalgesia in the monosodium iodoacetate model of osteoarthritis pain</w:t>
      </w:r>
    </w:p>
    <w:p w14:paraId="43F494EB" w14:textId="660C881F" w:rsidR="00131D78" w:rsidRDefault="00131D78" w:rsidP="00131D78">
      <w:r>
        <w:t xml:space="preserve">Maryam </w:t>
      </w:r>
      <w:proofErr w:type="spellStart"/>
      <w:proofErr w:type="gramStart"/>
      <w:r>
        <w:t>Abaei</w:t>
      </w:r>
      <w:proofErr w:type="spellEnd"/>
      <w:r>
        <w:t xml:space="preserve"> ,</w:t>
      </w:r>
      <w:proofErr w:type="gramEnd"/>
      <w:r>
        <w:t xml:space="preserve"> Devi R Sagar, Elizabeth G Stockley , Clare H Spicer , Malcolm Prior, Victoria Chapman, </w:t>
      </w:r>
      <w:proofErr w:type="spellStart"/>
      <w:r>
        <w:t>Dorothee</w:t>
      </w:r>
      <w:proofErr w:type="spellEnd"/>
      <w:r>
        <w:t xml:space="preserve"> P Auer</w:t>
      </w:r>
    </w:p>
    <w:p w14:paraId="5136237C" w14:textId="54C0BC04" w:rsidR="002035CE" w:rsidRDefault="002035CE" w:rsidP="00131D78">
      <w:r>
        <w:rPr>
          <w:rFonts w:hint="eastAsia"/>
          <w:noProof/>
        </w:rPr>
        <w:drawing>
          <wp:inline distT="0" distB="0" distL="0" distR="0" wp14:anchorId="346C9E87" wp14:editId="47B27EE3">
            <wp:extent cx="5995555" cy="2346832"/>
            <wp:effectExtent l="0" t="0" r="5715" b="0"/>
            <wp:docPr id="74623805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24167" cy="2358031"/>
                    </a:xfrm>
                    <a:prstGeom prst="rect">
                      <a:avLst/>
                    </a:prstGeom>
                    <a:noFill/>
                  </pic:spPr>
                </pic:pic>
              </a:graphicData>
            </a:graphic>
          </wp:inline>
        </w:drawing>
      </w:r>
    </w:p>
    <w:p w14:paraId="15536B9E" w14:textId="4C316852" w:rsidR="002035CE" w:rsidRDefault="00867C2E" w:rsidP="00131D78">
      <w:r w:rsidRPr="00867C2E">
        <w:t>Intra-articular injection of MIA significantly increased weight bearing asymmetry and decreased hind paw withdrawal thresholds on the ipsilateral side compared to baseline. Data are expressed as mean</w:t>
      </w:r>
      <w:r w:rsidRPr="00867C2E">
        <w:rPr>
          <w:rFonts w:ascii="MS Gothic" w:eastAsia="MS Gothic" w:hAnsi="MS Gothic" w:cs="MS Gothic" w:hint="eastAsia"/>
        </w:rPr>
        <w:t> </w:t>
      </w:r>
      <w:r w:rsidRPr="00867C2E">
        <w:rPr>
          <w:rFonts w:ascii="等线" w:eastAsia="等线" w:hAnsi="等线" w:cs="等线" w:hint="eastAsia"/>
        </w:rPr>
        <w:t>±</w:t>
      </w:r>
      <w:r w:rsidRPr="00867C2E">
        <w:rPr>
          <w:rFonts w:ascii="MS Gothic" w:eastAsia="MS Gothic" w:hAnsi="MS Gothic" w:cs="MS Gothic" w:hint="eastAsia"/>
        </w:rPr>
        <w:t> </w:t>
      </w:r>
      <w:r w:rsidRPr="00867C2E">
        <w:t>SEM (n</w:t>
      </w:r>
      <w:r w:rsidRPr="00867C2E">
        <w:rPr>
          <w:rFonts w:ascii="MS Gothic" w:eastAsia="MS Gothic" w:hAnsi="MS Gothic" w:cs="MS Gothic" w:hint="eastAsia"/>
        </w:rPr>
        <w:t> </w:t>
      </w:r>
      <w:r w:rsidRPr="00867C2E">
        <w:t>=</w:t>
      </w:r>
      <w:r w:rsidRPr="00867C2E">
        <w:rPr>
          <w:rFonts w:ascii="MS Gothic" w:eastAsia="MS Gothic" w:hAnsi="MS Gothic" w:cs="MS Gothic" w:hint="eastAsia"/>
        </w:rPr>
        <w:t> </w:t>
      </w:r>
      <w:r w:rsidRPr="00867C2E">
        <w:t xml:space="preserve">16 rats). Statistical analysis was performed using a </w:t>
      </w:r>
      <w:proofErr w:type="spellStart"/>
      <w:r w:rsidRPr="00867C2E">
        <w:t>Kruskall</w:t>
      </w:r>
      <w:proofErr w:type="spellEnd"/>
      <w:r w:rsidRPr="00867C2E">
        <w:t xml:space="preserve"> Wallis test with a Dunn</w:t>
      </w:r>
      <w:proofErr w:type="gramStart"/>
      <w:r w:rsidRPr="00867C2E">
        <w:rPr>
          <w:rFonts w:ascii="等线" w:eastAsia="等线" w:hAnsi="等线" w:cs="等线" w:hint="eastAsia"/>
        </w:rPr>
        <w:t>’</w:t>
      </w:r>
      <w:proofErr w:type="gramEnd"/>
      <w:r w:rsidRPr="00867C2E">
        <w:t>s multiple comparison test. *p</w:t>
      </w:r>
      <w:r w:rsidRPr="00867C2E">
        <w:rPr>
          <w:rFonts w:ascii="MS Gothic" w:eastAsia="MS Gothic" w:hAnsi="MS Gothic" w:cs="MS Gothic" w:hint="eastAsia"/>
        </w:rPr>
        <w:t> </w:t>
      </w:r>
      <w:r w:rsidRPr="00867C2E">
        <w:t>&lt;</w:t>
      </w:r>
      <w:r w:rsidRPr="00867C2E">
        <w:rPr>
          <w:rFonts w:ascii="MS Gothic" w:eastAsia="MS Gothic" w:hAnsi="MS Gothic" w:cs="MS Gothic" w:hint="eastAsia"/>
        </w:rPr>
        <w:t> </w:t>
      </w:r>
      <w:r w:rsidRPr="00867C2E">
        <w:t>0.05, **p</w:t>
      </w:r>
      <w:r w:rsidRPr="00867C2E">
        <w:rPr>
          <w:rFonts w:ascii="MS Gothic" w:eastAsia="MS Gothic" w:hAnsi="MS Gothic" w:cs="MS Gothic" w:hint="eastAsia"/>
        </w:rPr>
        <w:t> </w:t>
      </w:r>
      <w:r w:rsidRPr="00867C2E">
        <w:t>&lt;</w:t>
      </w:r>
      <w:r w:rsidRPr="00867C2E">
        <w:rPr>
          <w:rFonts w:ascii="MS Gothic" w:eastAsia="MS Gothic" w:hAnsi="MS Gothic" w:cs="MS Gothic" w:hint="eastAsia"/>
        </w:rPr>
        <w:t> </w:t>
      </w:r>
      <w:r w:rsidRPr="00867C2E">
        <w:t>0.01, *** p</w:t>
      </w:r>
      <w:r w:rsidRPr="00867C2E">
        <w:rPr>
          <w:rFonts w:ascii="MS Gothic" w:eastAsia="MS Gothic" w:hAnsi="MS Gothic" w:cs="MS Gothic" w:hint="eastAsia"/>
        </w:rPr>
        <w:t> </w:t>
      </w:r>
      <w:r w:rsidRPr="00867C2E">
        <w:t>&lt;</w:t>
      </w:r>
      <w:r w:rsidRPr="00867C2E">
        <w:rPr>
          <w:rFonts w:ascii="MS Gothic" w:eastAsia="MS Gothic" w:hAnsi="MS Gothic" w:cs="MS Gothic" w:hint="eastAsia"/>
        </w:rPr>
        <w:t> </w:t>
      </w:r>
      <w:r w:rsidRPr="00867C2E">
        <w:t>0.001 compared to baseline.</w:t>
      </w:r>
    </w:p>
    <w:p w14:paraId="130B512A" w14:textId="77777777" w:rsidR="00867C2E" w:rsidRDefault="00867C2E" w:rsidP="00131D78"/>
    <w:p w14:paraId="00619DC0" w14:textId="77777777" w:rsidR="00867C2E" w:rsidRDefault="00867C2E" w:rsidP="00131D78"/>
    <w:p w14:paraId="704B20B7" w14:textId="77777777" w:rsidR="00867C2E" w:rsidRPr="00867C2E" w:rsidRDefault="00867C2E" w:rsidP="00867C2E">
      <w:r w:rsidRPr="00867C2E">
        <w:t>Model of OA and pain behavior</w:t>
      </w:r>
    </w:p>
    <w:p w14:paraId="0D330CC3" w14:textId="77777777" w:rsidR="00867C2E" w:rsidRPr="00867C2E" w:rsidRDefault="00867C2E" w:rsidP="00867C2E">
      <w:r w:rsidRPr="00867C2E">
        <w:t>Animal care was in accordance with the UK Animals (Scientific Procedures) Act of 1986. A total of 16 Sprague–Dawley rats (160–200</w:t>
      </w:r>
      <w:r w:rsidRPr="00867C2E">
        <w:rPr>
          <w:rFonts w:ascii="MS Gothic" w:eastAsia="MS Gothic" w:hAnsi="MS Gothic" w:cs="MS Gothic" w:hint="eastAsia"/>
        </w:rPr>
        <w:t> </w:t>
      </w:r>
      <w:r w:rsidRPr="00867C2E">
        <w:t>g at time of MIA injection; Charles River Laboratories, UK) were maintained on a 12:12</w:t>
      </w:r>
      <w:r w:rsidRPr="00867C2E">
        <w:rPr>
          <w:rFonts w:ascii="MS Gothic" w:eastAsia="MS Gothic" w:hAnsi="MS Gothic" w:cs="MS Gothic" w:hint="eastAsia"/>
        </w:rPr>
        <w:t> </w:t>
      </w:r>
      <w:r w:rsidRPr="00867C2E">
        <w:t>h light/dark schedule with food and water available ad libitum. An established model of OA pain was induced in 16 rats on Day 0 under isoflurane anesthesia (3%, 1</w:t>
      </w:r>
      <w:r w:rsidRPr="00867C2E">
        <w:rPr>
          <w:rFonts w:ascii="MS Gothic" w:eastAsia="MS Gothic" w:hAnsi="MS Gothic" w:cs="MS Gothic" w:hint="eastAsia"/>
        </w:rPr>
        <w:t> </w:t>
      </w:r>
      <w:proofErr w:type="spellStart"/>
      <w:r w:rsidRPr="00867C2E">
        <w:t>Lmin</w:t>
      </w:r>
      <w:proofErr w:type="spellEnd"/>
      <w:r w:rsidRPr="00867C2E">
        <w:rPr>
          <w:rFonts w:ascii="微软雅黑" w:eastAsia="微软雅黑" w:hAnsi="微软雅黑" w:cs="微软雅黑" w:hint="eastAsia"/>
          <w:vertAlign w:val="superscript"/>
        </w:rPr>
        <w:t>−</w:t>
      </w:r>
      <w:r w:rsidRPr="00867C2E">
        <w:rPr>
          <w:vertAlign w:val="superscript"/>
        </w:rPr>
        <w:t>1</w:t>
      </w:r>
      <w:r w:rsidRPr="00867C2E">
        <w:t> O</w:t>
      </w:r>
      <w:r w:rsidRPr="00867C2E">
        <w:rPr>
          <w:vertAlign w:val="subscript"/>
        </w:rPr>
        <w:t>2</w:t>
      </w:r>
      <w:r w:rsidRPr="00867C2E">
        <w:t>). A single intra-articular injection of MIA (1</w:t>
      </w:r>
      <w:r w:rsidRPr="00867C2E">
        <w:rPr>
          <w:rFonts w:ascii="MS Gothic" w:eastAsia="MS Gothic" w:hAnsi="MS Gothic" w:cs="MS Gothic" w:hint="eastAsia"/>
        </w:rPr>
        <w:t> </w:t>
      </w:r>
      <w:r w:rsidRPr="00867C2E">
        <w:t>mg/50</w:t>
      </w:r>
      <w:r w:rsidRPr="00867C2E">
        <w:rPr>
          <w:rFonts w:ascii="MS Gothic" w:eastAsia="MS Gothic" w:hAnsi="MS Gothic" w:cs="MS Gothic" w:hint="eastAsia"/>
        </w:rPr>
        <w:t> </w:t>
      </w:r>
      <w:r w:rsidRPr="00867C2E">
        <w:rPr>
          <w:rFonts w:ascii="等线" w:eastAsia="等线" w:hAnsi="等线" w:cs="等线" w:hint="eastAsia"/>
        </w:rPr>
        <w:t>μ</w:t>
      </w:r>
      <w:r w:rsidRPr="00867C2E">
        <w:t>l; Sigma, UK) in saline was administered through the infra-patellar ligament of the left knee in all rats.</w:t>
      </w:r>
      <w:hyperlink r:id="rId92" w:anchor="bibr14-1744806916642445" w:history="1">
        <w:r w:rsidRPr="00867C2E">
          <w:rPr>
            <w:rStyle w:val="a7"/>
            <w:vertAlign w:val="superscript"/>
          </w:rPr>
          <w:t>14</w:t>
        </w:r>
      </w:hyperlink>
      <w:r w:rsidRPr="00867C2E">
        <w:t> The MIA model of OA pain has been widely used, and although it does not mimic the etiology of OA, it does mimic key clinical features of OA.</w:t>
      </w:r>
      <w:hyperlink r:id="rId93" w:anchor="bibr15-1744806916642445" w:history="1">
        <w:r w:rsidRPr="00867C2E">
          <w:rPr>
            <w:rStyle w:val="a7"/>
            <w:vertAlign w:val="superscript"/>
          </w:rPr>
          <w:t>15</w:t>
        </w:r>
      </w:hyperlink>
      <w:r w:rsidRPr="00867C2E">
        <w:t xml:space="preserve"> Pain behavior was assessed for 22 days post injection after which rats were transferred to undergo imaging studies. Two separate measures of pain behavior were assessed: change in hindlimb weight distribution (weight bearing asymmetry), which is a behavioral correlate of hyperalgesia; and </w:t>
      </w:r>
      <w:proofErr w:type="spellStart"/>
      <w:r w:rsidRPr="00867C2E">
        <w:t>hindpaw</w:t>
      </w:r>
      <w:proofErr w:type="spellEnd"/>
      <w:r w:rsidRPr="00867C2E">
        <w:t xml:space="preserve"> mechanical withdrawal thresholds, which provides an index of central sensitization. Weight distribution was assessed using an </w:t>
      </w:r>
      <w:proofErr w:type="spellStart"/>
      <w:r w:rsidRPr="00867C2E">
        <w:t>incapacitance</w:t>
      </w:r>
      <w:proofErr w:type="spellEnd"/>
      <w:r w:rsidRPr="00867C2E">
        <w:t xml:space="preserve"> tester (Linton Instrumentation, UK) and was calculated as (weight on contralateral hind limb </w:t>
      </w:r>
      <w:r w:rsidRPr="00867C2E">
        <w:rPr>
          <w:rFonts w:ascii="微软雅黑" w:eastAsia="微软雅黑" w:hAnsi="微软雅黑" w:cs="微软雅黑" w:hint="eastAsia"/>
        </w:rPr>
        <w:t>−</w:t>
      </w:r>
      <w:r w:rsidRPr="00867C2E">
        <w:t xml:space="preserve"> weight on ipsilateral hind limb)/total weight on hind limbs</w:t>
      </w:r>
      <w:r w:rsidRPr="00867C2E">
        <w:rPr>
          <w:rFonts w:ascii="MS Gothic" w:eastAsia="MS Gothic" w:hAnsi="MS Gothic" w:cs="MS Gothic" w:hint="eastAsia"/>
        </w:rPr>
        <w:t> </w:t>
      </w:r>
      <w:r w:rsidRPr="00867C2E">
        <w:rPr>
          <w:rFonts w:ascii="等线" w:eastAsia="等线" w:hAnsi="等线" w:cs="等线" w:hint="eastAsia"/>
        </w:rPr>
        <w:t>×</w:t>
      </w:r>
      <w:r w:rsidRPr="00867C2E">
        <w:rPr>
          <w:rFonts w:ascii="MS Gothic" w:eastAsia="MS Gothic" w:hAnsi="MS Gothic" w:cs="MS Gothic" w:hint="eastAsia"/>
        </w:rPr>
        <w:t> </w:t>
      </w:r>
      <w:r w:rsidRPr="00867C2E">
        <w:t xml:space="preserve">100%. Paw withdrawal thresholds (PWTs) were assessed using a series of von Frey </w:t>
      </w:r>
      <w:r w:rsidRPr="00867C2E">
        <w:lastRenderedPageBreak/>
        <w:t>monofilaments (Semmes</w:t>
      </w:r>
      <w:r w:rsidRPr="00867C2E">
        <w:rPr>
          <w:rFonts w:ascii="等线" w:eastAsia="等线" w:hAnsi="等线" w:cs="等线" w:hint="eastAsia"/>
        </w:rPr>
        <w:t>–</w:t>
      </w:r>
      <w:r w:rsidRPr="00867C2E">
        <w:t>Weinstein monofilaments of bending forces 1</w:t>
      </w:r>
      <w:r w:rsidRPr="00867C2E">
        <w:rPr>
          <w:rFonts w:ascii="等线" w:eastAsia="等线" w:hAnsi="等线" w:cs="等线" w:hint="eastAsia"/>
        </w:rPr>
        <w:t>–</w:t>
      </w:r>
      <w:r w:rsidRPr="00867C2E">
        <w:t>15</w:t>
      </w:r>
      <w:r w:rsidRPr="00867C2E">
        <w:rPr>
          <w:rFonts w:ascii="MS Gothic" w:eastAsia="MS Gothic" w:hAnsi="MS Gothic" w:cs="MS Gothic" w:hint="eastAsia"/>
        </w:rPr>
        <w:t> </w:t>
      </w:r>
      <w:r w:rsidRPr="00867C2E">
        <w:t>g) applied in ascending order of bending force to the plantar surface as previously described.</w:t>
      </w:r>
      <w:hyperlink r:id="rId94" w:anchor="bibr2-1744806916642445" w:history="1">
        <w:r w:rsidRPr="00867C2E">
          <w:rPr>
            <w:rStyle w:val="a7"/>
            <w:vertAlign w:val="superscript"/>
          </w:rPr>
          <w:t>2</w:t>
        </w:r>
      </w:hyperlink>
      <w:r w:rsidRPr="00867C2E">
        <w:t> The PWT was the lowest weight of monofilament that elicited a withdrawal reflex. For analysis, a PWT of greater than 15</w:t>
      </w:r>
      <w:r w:rsidRPr="00867C2E">
        <w:rPr>
          <w:rFonts w:ascii="MS Gothic" w:eastAsia="MS Gothic" w:hAnsi="MS Gothic" w:cs="MS Gothic" w:hint="eastAsia"/>
        </w:rPr>
        <w:t> </w:t>
      </w:r>
      <w:r w:rsidRPr="00867C2E">
        <w:t>g was recorded as 26</w:t>
      </w:r>
      <w:r w:rsidRPr="00867C2E">
        <w:rPr>
          <w:rFonts w:ascii="MS Gothic" w:eastAsia="MS Gothic" w:hAnsi="MS Gothic" w:cs="MS Gothic" w:hint="eastAsia"/>
        </w:rPr>
        <w:t> </w:t>
      </w:r>
      <w:r w:rsidRPr="00867C2E">
        <w:t>g (the next consecutive von Frey weight in the series). Paw withdrawal data are non-parametric; therefore, non-parametric analysis was selected. Weight bearing data were analyzed using a D'Agostino and Pearson omnibus normality test (alpha</w:t>
      </w:r>
      <w:r w:rsidRPr="00867C2E">
        <w:rPr>
          <w:rFonts w:ascii="MS Gothic" w:eastAsia="MS Gothic" w:hAnsi="MS Gothic" w:cs="MS Gothic" w:hint="eastAsia"/>
        </w:rPr>
        <w:t> </w:t>
      </w:r>
      <w:r w:rsidRPr="00867C2E">
        <w:t>=</w:t>
      </w:r>
      <w:r w:rsidRPr="00867C2E">
        <w:rPr>
          <w:rFonts w:ascii="MS Gothic" w:eastAsia="MS Gothic" w:hAnsi="MS Gothic" w:cs="MS Gothic" w:hint="eastAsia"/>
        </w:rPr>
        <w:t> </w:t>
      </w:r>
      <w:r w:rsidRPr="00867C2E">
        <w:t xml:space="preserve">0.05); data were not found to be normally distributed; therefore, non-parametric analysis were also selected. Data were compared to baseline values and analyzed using a </w:t>
      </w:r>
      <w:proofErr w:type="spellStart"/>
      <w:r w:rsidRPr="00867C2E">
        <w:t>Kruskall</w:t>
      </w:r>
      <w:proofErr w:type="spellEnd"/>
      <w:r w:rsidRPr="00867C2E">
        <w:t xml:space="preserve"> Wallis test with a Dunn’s multiple comparison post-hoc test.</w:t>
      </w:r>
    </w:p>
    <w:p w14:paraId="1F8D550F" w14:textId="613239F1" w:rsidR="00867C2E" w:rsidRDefault="00867C2E">
      <w:pPr>
        <w:widowControl/>
        <w:jc w:val="left"/>
      </w:pPr>
      <w:r>
        <w:rPr>
          <w:rFonts w:hint="eastAsia"/>
        </w:rPr>
        <w:br w:type="page"/>
      </w:r>
    </w:p>
    <w:p w14:paraId="5EE5B588" w14:textId="0237144E" w:rsidR="00867C2E" w:rsidRDefault="004A5E23" w:rsidP="00131D78">
      <w:hyperlink r:id="rId95" w:history="1">
        <w:r w:rsidR="00A75605">
          <w:rPr>
            <w:rFonts w:hint="eastAsia"/>
          </w:rPr>
          <w:t>15.</w:t>
        </w:r>
        <w:r w:rsidR="00867C2E" w:rsidRPr="00867C2E">
          <w:rPr>
            <w:rStyle w:val="a7"/>
          </w:rPr>
          <w:t>Analgesic Effect of Indian Gooseberry (Emblica officinalis Fruit) Extracts on Postoperative and Neuropathic Pain in Rats</w:t>
        </w:r>
      </w:hyperlink>
    </w:p>
    <w:p w14:paraId="64F411A2" w14:textId="77777777" w:rsidR="00867C2E" w:rsidRDefault="00867C2E" w:rsidP="00131D78"/>
    <w:p w14:paraId="518124F6" w14:textId="77777777" w:rsidR="00A11A0D" w:rsidRPr="00A11A0D" w:rsidRDefault="00A11A0D" w:rsidP="00A11A0D">
      <w:pPr>
        <w:rPr>
          <w:b/>
          <w:bCs/>
        </w:rPr>
      </w:pPr>
      <w:r w:rsidRPr="00A11A0D">
        <w:rPr>
          <w:rFonts w:hint="eastAsia"/>
          <w:b/>
          <w:bCs/>
        </w:rPr>
        <w:t>Analgesic Effect of Indian Gooseberry (</w:t>
      </w:r>
      <w:proofErr w:type="spellStart"/>
      <w:r w:rsidRPr="00A11A0D">
        <w:rPr>
          <w:rFonts w:hint="eastAsia"/>
          <w:b/>
          <w:bCs/>
        </w:rPr>
        <w:t>Emblica</w:t>
      </w:r>
      <w:proofErr w:type="spellEnd"/>
      <w:r w:rsidRPr="00A11A0D">
        <w:rPr>
          <w:rFonts w:hint="eastAsia"/>
          <w:b/>
          <w:bCs/>
        </w:rPr>
        <w:t xml:space="preserve"> officinalis Fruit) Extracts on Postoperative and Neuropathic Pain in Rats</w:t>
      </w:r>
    </w:p>
    <w:p w14:paraId="1FB47867" w14:textId="522E916A" w:rsidR="00867C2E" w:rsidRDefault="00A11A0D" w:rsidP="00A11A0D">
      <w:r>
        <w:rPr>
          <w:rFonts w:hint="eastAsia"/>
        </w:rPr>
        <w:t xml:space="preserve">by Dong </w:t>
      </w:r>
      <w:proofErr w:type="spellStart"/>
      <w:r>
        <w:rPr>
          <w:rFonts w:hint="eastAsia"/>
        </w:rPr>
        <w:t>Wook</w:t>
      </w:r>
      <w:proofErr w:type="spellEnd"/>
      <w:r>
        <w:rPr>
          <w:rFonts w:hint="eastAsia"/>
        </w:rPr>
        <w:t xml:space="preserve"> </w:t>
      </w:r>
      <w:proofErr w:type="spellStart"/>
      <w:proofErr w:type="gramStart"/>
      <w:r>
        <w:rPr>
          <w:rFonts w:hint="eastAsia"/>
        </w:rPr>
        <w:t>Lim,Jae</w:t>
      </w:r>
      <w:proofErr w:type="spellEnd"/>
      <w:proofErr w:type="gramEnd"/>
      <w:r>
        <w:rPr>
          <w:rFonts w:hint="eastAsia"/>
        </w:rPr>
        <w:t xml:space="preserve"> Goo Kim, and Yun Tai Kim</w:t>
      </w:r>
    </w:p>
    <w:p w14:paraId="498C1CE1" w14:textId="77777777" w:rsidR="00A11A0D" w:rsidRDefault="00A11A0D" w:rsidP="00A11A0D"/>
    <w:p w14:paraId="783BE8B1" w14:textId="1332FC49" w:rsidR="00A11A0D" w:rsidRDefault="00A11A0D" w:rsidP="00A11A0D">
      <w:r>
        <w:rPr>
          <w:rFonts w:hint="eastAsia"/>
          <w:noProof/>
        </w:rPr>
        <w:drawing>
          <wp:inline distT="0" distB="0" distL="0" distR="0" wp14:anchorId="7AEE90FE" wp14:editId="4A7C075B">
            <wp:extent cx="5238750" cy="2228850"/>
            <wp:effectExtent l="0" t="0" r="0" b="0"/>
            <wp:docPr id="12359132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38750" cy="2228850"/>
                    </a:xfrm>
                    <a:prstGeom prst="rect">
                      <a:avLst/>
                    </a:prstGeom>
                    <a:noFill/>
                  </pic:spPr>
                </pic:pic>
              </a:graphicData>
            </a:graphic>
          </wp:inline>
        </w:drawing>
      </w:r>
    </w:p>
    <w:p w14:paraId="0BD0AA71" w14:textId="4F62D73B" w:rsidR="00A11A0D" w:rsidRDefault="00A11A0D" w:rsidP="00A11A0D">
      <w:r w:rsidRPr="00A11A0D">
        <w:t>Effect of </w:t>
      </w:r>
      <w:proofErr w:type="spellStart"/>
      <w:r w:rsidRPr="00A11A0D">
        <w:rPr>
          <w:i/>
          <w:iCs/>
        </w:rPr>
        <w:t>Emblica</w:t>
      </w:r>
      <w:proofErr w:type="spellEnd"/>
      <w:r w:rsidRPr="00A11A0D">
        <w:rPr>
          <w:i/>
          <w:iCs/>
        </w:rPr>
        <w:t xml:space="preserve"> officinalis</w:t>
      </w:r>
      <w:r w:rsidRPr="00A11A0D">
        <w:t> extracts on mechanical hypersensitivity induced by plantar incision in rats. Baseline assessment of animals before surgery (day 0) showed no significant variation between groups. At 6 h or 24 h after PI, rats treated with </w:t>
      </w:r>
      <w:r w:rsidRPr="00A11A0D">
        <w:rPr>
          <w:i/>
          <w:iCs/>
        </w:rPr>
        <w:t>E. officinalis</w:t>
      </w:r>
      <w:r w:rsidRPr="00A11A0D">
        <w:t> extracts demonstrated significantly attenuated hypersensitivity in response to von Frey stimulation of the injured hind paw. Data are mean ± SEM (</w:t>
      </w:r>
      <w:r w:rsidRPr="00A11A0D">
        <w:rPr>
          <w:i/>
          <w:iCs/>
        </w:rPr>
        <w:t>n</w:t>
      </w:r>
      <w:r w:rsidRPr="00A11A0D">
        <w:t> = 9 per group). * </w:t>
      </w:r>
      <w:r w:rsidRPr="00A11A0D">
        <w:rPr>
          <w:i/>
          <w:iCs/>
        </w:rPr>
        <w:t>p</w:t>
      </w:r>
      <w:r w:rsidRPr="00A11A0D">
        <w:t> &lt; 0.05 and ** </w:t>
      </w:r>
      <w:r w:rsidRPr="00A11A0D">
        <w:rPr>
          <w:i/>
          <w:iCs/>
        </w:rPr>
        <w:t>p</w:t>
      </w:r>
      <w:r w:rsidRPr="00A11A0D">
        <w:t> &lt; 0.01, significant difference from the control group. PI-Control: plantar incision in control group.</w:t>
      </w:r>
    </w:p>
    <w:p w14:paraId="7947A7CD" w14:textId="77777777" w:rsidR="00A11A0D" w:rsidRDefault="00A11A0D" w:rsidP="00A11A0D"/>
    <w:p w14:paraId="2E6766DF" w14:textId="61425109" w:rsidR="00A11A0D" w:rsidRDefault="00A11A0D" w:rsidP="00A11A0D">
      <w:r>
        <w:rPr>
          <w:rFonts w:hint="eastAsia"/>
          <w:noProof/>
        </w:rPr>
        <w:drawing>
          <wp:inline distT="0" distB="0" distL="0" distR="0" wp14:anchorId="0D9F572B" wp14:editId="2BD3C3DD">
            <wp:extent cx="4433455" cy="2426970"/>
            <wp:effectExtent l="0" t="0" r="5715" b="0"/>
            <wp:docPr id="519840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463281" cy="2443298"/>
                    </a:xfrm>
                    <a:prstGeom prst="rect">
                      <a:avLst/>
                    </a:prstGeom>
                    <a:noFill/>
                  </pic:spPr>
                </pic:pic>
              </a:graphicData>
            </a:graphic>
          </wp:inline>
        </w:drawing>
      </w:r>
    </w:p>
    <w:p w14:paraId="09BBDCB7" w14:textId="775D09C1" w:rsidR="00A11A0D" w:rsidRDefault="00A11A0D" w:rsidP="00A11A0D">
      <w:r w:rsidRPr="00A11A0D">
        <w:t>Effect of </w:t>
      </w:r>
      <w:r w:rsidRPr="00A11A0D">
        <w:rPr>
          <w:i/>
          <w:iCs/>
        </w:rPr>
        <w:t>E. officinalis</w:t>
      </w:r>
      <w:r w:rsidRPr="00A11A0D">
        <w:t> extracts on a spared nerve injury (SNI) rat model of neuropathic pain. Administration of </w:t>
      </w:r>
      <w:r w:rsidRPr="00A11A0D">
        <w:rPr>
          <w:i/>
          <w:iCs/>
        </w:rPr>
        <w:t>E. officinalis</w:t>
      </w:r>
      <w:r w:rsidRPr="00A11A0D">
        <w:t> extracts (300 mg/kg, oral administration (p.o.)) significantly attenuated hypersensitivity in response to von Frey stimulation of the hind paw, from 3 to 15 days after treatment. Data represent the mean ± SEM (</w:t>
      </w:r>
      <w:r w:rsidRPr="00A11A0D">
        <w:rPr>
          <w:i/>
          <w:iCs/>
        </w:rPr>
        <w:t>n</w:t>
      </w:r>
      <w:r w:rsidRPr="00A11A0D">
        <w:t> = 9 per group). ** </w:t>
      </w:r>
      <w:r w:rsidRPr="00A11A0D">
        <w:rPr>
          <w:i/>
          <w:iCs/>
        </w:rPr>
        <w:t>p</w:t>
      </w:r>
      <w:r w:rsidRPr="00A11A0D">
        <w:t> &lt; 0.01, and * </w:t>
      </w:r>
      <w:r w:rsidRPr="00A11A0D">
        <w:rPr>
          <w:i/>
          <w:iCs/>
        </w:rPr>
        <w:t>p</w:t>
      </w:r>
      <w:r w:rsidRPr="00A11A0D">
        <w:t> &lt; 0.05 significant difference from the control group.</w:t>
      </w:r>
    </w:p>
    <w:p w14:paraId="4D3CFCFE" w14:textId="77777777" w:rsidR="00A11A0D" w:rsidRDefault="00A11A0D" w:rsidP="00A11A0D"/>
    <w:p w14:paraId="3AB88284" w14:textId="77777777" w:rsidR="00A11A0D" w:rsidRDefault="00A11A0D" w:rsidP="00A11A0D"/>
    <w:p w14:paraId="0CA075D1" w14:textId="77777777" w:rsidR="00A11A0D" w:rsidRPr="00A11A0D" w:rsidRDefault="00A11A0D" w:rsidP="00A11A0D">
      <w:pPr>
        <w:rPr>
          <w:i/>
          <w:iCs/>
        </w:rPr>
      </w:pPr>
      <w:r w:rsidRPr="00A11A0D">
        <w:rPr>
          <w:i/>
          <w:iCs/>
        </w:rPr>
        <w:t>Mechanical Withdrawal Threshold Analysis</w:t>
      </w:r>
    </w:p>
    <w:p w14:paraId="02D49B16" w14:textId="77777777" w:rsidR="00A11A0D" w:rsidRPr="00A11A0D" w:rsidRDefault="00A11A0D" w:rsidP="00A11A0D">
      <w:r w:rsidRPr="00A11A0D">
        <w:t>Animals were placed on an elevated wire grid, and the plantar surface of the paw stimulated with a series of ascending force von Frey monofilaments (</w:t>
      </w:r>
      <w:proofErr w:type="spellStart"/>
      <w:r w:rsidRPr="00A11A0D">
        <w:t>Stoelting</w:t>
      </w:r>
      <w:proofErr w:type="spellEnd"/>
      <w:r w:rsidRPr="00A11A0D">
        <w:t xml:space="preserve">, Wood Dale, IL, USA). The threshold was taken as the lowest force that evoked a brisk withdrawal response to one of three repetitive stimuli. To determine the time course of hyperalgesia, a baseline measurement was made prior to surgery, and then again at 6 h and 24 h post-surgery for plantar incision, 3, </w:t>
      </w:r>
      <w:proofErr w:type="gramStart"/>
      <w:r w:rsidRPr="00A11A0D">
        <w:t>6, 9, 12, and 15 days</w:t>
      </w:r>
      <w:proofErr w:type="gramEnd"/>
      <w:r w:rsidRPr="00A11A0D">
        <w:t xml:space="preserve"> post-surgery for SNI.</w:t>
      </w:r>
    </w:p>
    <w:p w14:paraId="0B6301D0" w14:textId="335FF870" w:rsidR="00122543" w:rsidRDefault="00122543">
      <w:pPr>
        <w:widowControl/>
        <w:jc w:val="left"/>
      </w:pPr>
      <w:r>
        <w:rPr>
          <w:rFonts w:hint="eastAsia"/>
        </w:rPr>
        <w:br w:type="page"/>
      </w:r>
    </w:p>
    <w:p w14:paraId="03CAA2EE" w14:textId="5D97B17E" w:rsidR="008458B6" w:rsidRDefault="00A75605" w:rsidP="00A11A0D">
      <w:r>
        <w:rPr>
          <w:rFonts w:hint="eastAsia"/>
        </w:rPr>
        <w:lastRenderedPageBreak/>
        <w:t>16.</w:t>
      </w:r>
      <w:hyperlink r:id="rId98" w:history="1">
        <w:r w:rsidR="00330BFE" w:rsidRPr="00330BFE">
          <w:rPr>
            <w:rStyle w:val="a7"/>
          </w:rPr>
          <w:t>Upregulation of Chemokine CXCL12 in the Dorsal Root Ganglia and Spinal Cord Contributes to the Development and Maintenance of Neuropathic Pain Following Spared Nerve Injury in Rats | Neuroscience Bulletin</w:t>
        </w:r>
      </w:hyperlink>
    </w:p>
    <w:p w14:paraId="1FDD45ED" w14:textId="77777777" w:rsidR="00330BFE" w:rsidRDefault="00330BFE" w:rsidP="00A11A0D"/>
    <w:p w14:paraId="71DB542E" w14:textId="77777777" w:rsidR="00330BFE" w:rsidRPr="00330BFE" w:rsidRDefault="00330BFE" w:rsidP="00330BFE">
      <w:pPr>
        <w:rPr>
          <w:b/>
          <w:bCs/>
        </w:rPr>
      </w:pPr>
      <w:r w:rsidRPr="00330BFE">
        <w:rPr>
          <w:b/>
          <w:bCs/>
        </w:rPr>
        <w:t>Upregulation of Chemokine CXCL12 in the Dorsal Root Ganglia and Spinal Cord Contributes to the Development and Maintenance of Neuropathic Pain Following Spared Nerve Injury in Rats</w:t>
      </w:r>
    </w:p>
    <w:p w14:paraId="04B884D0" w14:textId="676EDA61" w:rsidR="00330BFE" w:rsidRDefault="00330BFE" w:rsidP="00A11A0D">
      <w:proofErr w:type="spellStart"/>
      <w:r w:rsidRPr="00330BFE">
        <w:rPr>
          <w:rFonts w:hint="eastAsia"/>
        </w:rPr>
        <w:t>Liying</w:t>
      </w:r>
      <w:proofErr w:type="spellEnd"/>
      <w:r w:rsidRPr="00330BFE">
        <w:rPr>
          <w:rFonts w:hint="eastAsia"/>
        </w:rPr>
        <w:t xml:space="preserve"> Bai, </w:t>
      </w:r>
      <w:proofErr w:type="spellStart"/>
      <w:r w:rsidRPr="00330BFE">
        <w:rPr>
          <w:rFonts w:hint="eastAsia"/>
        </w:rPr>
        <w:t>Xinru</w:t>
      </w:r>
      <w:proofErr w:type="spellEnd"/>
      <w:r w:rsidRPr="00330BFE">
        <w:rPr>
          <w:rFonts w:hint="eastAsia"/>
        </w:rPr>
        <w:t xml:space="preserve"> Wang, </w:t>
      </w:r>
      <w:proofErr w:type="spellStart"/>
      <w:r w:rsidRPr="00330BFE">
        <w:rPr>
          <w:rFonts w:hint="eastAsia"/>
        </w:rPr>
        <w:t>Zhisong</w:t>
      </w:r>
      <w:proofErr w:type="spellEnd"/>
      <w:r w:rsidRPr="00330BFE">
        <w:rPr>
          <w:rFonts w:hint="eastAsia"/>
        </w:rPr>
        <w:t xml:space="preserve"> Li, </w:t>
      </w:r>
      <w:proofErr w:type="spellStart"/>
      <w:r w:rsidRPr="00330BFE">
        <w:rPr>
          <w:rFonts w:hint="eastAsia"/>
        </w:rPr>
        <w:t>Cunlong</w:t>
      </w:r>
      <w:proofErr w:type="spellEnd"/>
      <w:r w:rsidRPr="00330BFE">
        <w:rPr>
          <w:rFonts w:hint="eastAsia"/>
        </w:rPr>
        <w:t xml:space="preserve"> Kong, </w:t>
      </w:r>
      <w:proofErr w:type="spellStart"/>
      <w:r w:rsidRPr="00330BFE">
        <w:rPr>
          <w:rFonts w:hint="eastAsia"/>
        </w:rPr>
        <w:t>Yonghui</w:t>
      </w:r>
      <w:proofErr w:type="spellEnd"/>
      <w:r w:rsidRPr="00330BFE">
        <w:rPr>
          <w:rFonts w:hint="eastAsia"/>
        </w:rPr>
        <w:t xml:space="preserve"> Zhao, Jun-Liang Qian, </w:t>
      </w:r>
      <w:proofErr w:type="spellStart"/>
      <w:r w:rsidRPr="00330BFE">
        <w:rPr>
          <w:rFonts w:hint="eastAsia"/>
        </w:rPr>
        <w:t>Quancheng</w:t>
      </w:r>
      <w:proofErr w:type="spellEnd"/>
      <w:r w:rsidRPr="00330BFE">
        <w:rPr>
          <w:rFonts w:hint="eastAsia"/>
        </w:rPr>
        <w:t xml:space="preserve"> Kan, Wei Zhang &amp; Ji-Tian Xu</w:t>
      </w:r>
    </w:p>
    <w:p w14:paraId="3B50682A" w14:textId="77777777" w:rsidR="00330BFE" w:rsidRDefault="00330BFE" w:rsidP="00A11A0D"/>
    <w:p w14:paraId="6992DBD8" w14:textId="63814FDD" w:rsidR="00330BFE" w:rsidRDefault="00330BFE" w:rsidP="00A11A0D">
      <w:r>
        <w:rPr>
          <w:rFonts w:hint="eastAsia"/>
          <w:noProof/>
        </w:rPr>
        <w:drawing>
          <wp:inline distT="0" distB="0" distL="0" distR="0" wp14:anchorId="24A7681D" wp14:editId="4EE287D2">
            <wp:extent cx="5715000" cy="3190875"/>
            <wp:effectExtent l="0" t="0" r="0" b="9525"/>
            <wp:docPr id="15085600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15000" cy="3190875"/>
                    </a:xfrm>
                    <a:prstGeom prst="rect">
                      <a:avLst/>
                    </a:prstGeom>
                    <a:noFill/>
                  </pic:spPr>
                </pic:pic>
              </a:graphicData>
            </a:graphic>
          </wp:inline>
        </w:drawing>
      </w:r>
    </w:p>
    <w:p w14:paraId="40F8A995" w14:textId="77777777" w:rsidR="00330BFE" w:rsidRPr="00330BFE" w:rsidRDefault="00330BFE" w:rsidP="00330BFE">
      <w:r w:rsidRPr="00330BFE">
        <w:t>AMD3100, a specific antagonist of CXCR4, reduces the mechanical allodynia induced by SNI. </w:t>
      </w:r>
      <w:r w:rsidRPr="00330BFE">
        <w:rPr>
          <w:b/>
          <w:bCs/>
        </w:rPr>
        <w:t>A</w:t>
      </w:r>
      <w:r w:rsidRPr="00330BFE">
        <w:t> Pretreatment with intrathecal injections (i.t.) of AMD3100 30 min before SNI and once daily thereafter until day 7 after surgery prevented the reduction in paw-withdrawal threshold in the ipsilateral hind paw in a dose- and time-dependent manner. *</w:t>
      </w:r>
      <w:r w:rsidRPr="00330BFE">
        <w:rPr>
          <w:i/>
          <w:iCs/>
        </w:rPr>
        <w:t>P</w:t>
      </w:r>
      <w:r w:rsidRPr="00330BFE">
        <w:t> &lt; 0.05, **</w:t>
      </w:r>
      <w:r w:rsidRPr="00330BFE">
        <w:rPr>
          <w:i/>
          <w:iCs/>
        </w:rPr>
        <w:t>P</w:t>
      </w:r>
      <w:r w:rsidRPr="00330BFE">
        <w:t> &lt; 0.01 </w:t>
      </w:r>
      <w:r w:rsidRPr="00330BFE">
        <w:rPr>
          <w:i/>
          <w:iCs/>
        </w:rPr>
        <w:t>vs</w:t>
      </w:r>
      <w:r w:rsidRPr="00330BFE">
        <w:t> SNI + saline group at corresponding time points (Mann–Whitney </w:t>
      </w:r>
      <w:r w:rsidRPr="00330BFE">
        <w:rPr>
          <w:i/>
          <w:iCs/>
        </w:rPr>
        <w:t>U</w:t>
      </w:r>
      <w:r w:rsidRPr="00330BFE">
        <w:t>-test); </w:t>
      </w:r>
      <w:r w:rsidRPr="00330BFE">
        <w:rPr>
          <w:vertAlign w:val="superscript"/>
        </w:rPr>
        <w:t>##</w:t>
      </w:r>
      <w:r w:rsidRPr="00330BFE">
        <w:t> </w:t>
      </w:r>
      <w:r w:rsidRPr="00330BFE">
        <w:rPr>
          <w:i/>
          <w:iCs/>
        </w:rPr>
        <w:t>P</w:t>
      </w:r>
      <w:r w:rsidRPr="00330BFE">
        <w:t> &lt; 0.01, </w:t>
      </w:r>
      <w:r w:rsidRPr="00330BFE">
        <w:rPr>
          <w:vertAlign w:val="superscript"/>
        </w:rPr>
        <w:t>###</w:t>
      </w:r>
      <w:r w:rsidRPr="00330BFE">
        <w:t> </w:t>
      </w:r>
      <w:r w:rsidRPr="00330BFE">
        <w:rPr>
          <w:i/>
          <w:iCs/>
        </w:rPr>
        <w:t>P</w:t>
      </w:r>
      <w:r w:rsidRPr="00330BFE">
        <w:t> &lt; 0.001 </w:t>
      </w:r>
      <w:r w:rsidRPr="00330BFE">
        <w:rPr>
          <w:i/>
          <w:iCs/>
        </w:rPr>
        <w:t>vs</w:t>
      </w:r>
      <w:r w:rsidRPr="00330BFE">
        <w:t> preoperative baseline (Friedman’s ANOVA for repeated measures, followed by Wilcoxon matched pairs test) or the sham group at corresponding time points (Mann–Whitney </w:t>
      </w:r>
      <w:r w:rsidRPr="00330BFE">
        <w:rPr>
          <w:i/>
          <w:iCs/>
        </w:rPr>
        <w:t>U</w:t>
      </w:r>
      <w:r w:rsidRPr="00330BFE">
        <w:t>-test). </w:t>
      </w:r>
      <w:r w:rsidRPr="00330BFE">
        <w:rPr>
          <w:b/>
          <w:bCs/>
        </w:rPr>
        <w:t>B</w:t>
      </w:r>
      <w:r w:rsidRPr="00330BFE">
        <w:t> Administration of AMD3100 i.t. beginning on day 7 after SNI and continuing once daily thereafter for 5 days partially ameliorated the established abnormal pain. *</w:t>
      </w:r>
      <w:r w:rsidRPr="00330BFE">
        <w:rPr>
          <w:i/>
          <w:iCs/>
        </w:rPr>
        <w:t>P</w:t>
      </w:r>
      <w:r w:rsidRPr="00330BFE">
        <w:t> &lt; 0.05, **</w:t>
      </w:r>
      <w:r w:rsidRPr="00330BFE">
        <w:rPr>
          <w:i/>
          <w:iCs/>
        </w:rPr>
        <w:t>P</w:t>
      </w:r>
      <w:r w:rsidRPr="00330BFE">
        <w:t> &lt; 0.01 </w:t>
      </w:r>
      <w:r w:rsidRPr="00330BFE">
        <w:rPr>
          <w:i/>
          <w:iCs/>
        </w:rPr>
        <w:t>vs</w:t>
      </w:r>
      <w:r w:rsidRPr="00330BFE">
        <w:t> SNI + saline group at corresponding time points (Mann–Whitney </w:t>
      </w:r>
      <w:r w:rsidRPr="00330BFE">
        <w:rPr>
          <w:i/>
          <w:iCs/>
        </w:rPr>
        <w:t>U</w:t>
      </w:r>
      <w:r w:rsidRPr="00330BFE">
        <w:t>-test); </w:t>
      </w:r>
      <w:r w:rsidRPr="00330BFE">
        <w:rPr>
          <w:vertAlign w:val="superscript"/>
        </w:rPr>
        <w:t>##</w:t>
      </w:r>
      <w:r w:rsidRPr="00330BFE">
        <w:t> </w:t>
      </w:r>
      <w:r w:rsidRPr="00330BFE">
        <w:rPr>
          <w:i/>
          <w:iCs/>
        </w:rPr>
        <w:t>P</w:t>
      </w:r>
      <w:r w:rsidRPr="00330BFE">
        <w:t> &lt; 0.01, </w:t>
      </w:r>
      <w:r w:rsidRPr="00330BFE">
        <w:rPr>
          <w:vertAlign w:val="superscript"/>
        </w:rPr>
        <w:t>###</w:t>
      </w:r>
      <w:r w:rsidRPr="00330BFE">
        <w:t> </w:t>
      </w:r>
      <w:r w:rsidRPr="00330BFE">
        <w:rPr>
          <w:i/>
          <w:iCs/>
        </w:rPr>
        <w:t>P</w:t>
      </w:r>
      <w:r w:rsidRPr="00330BFE">
        <w:t> &lt; 0.001 </w:t>
      </w:r>
      <w:r w:rsidRPr="00330BFE">
        <w:rPr>
          <w:i/>
          <w:iCs/>
        </w:rPr>
        <w:t>vs</w:t>
      </w:r>
      <w:r w:rsidRPr="00330BFE">
        <w:t> preoperative baseline (Friedman’s ANOVA for repeated measures, followed by Wilcoxon matched pairs test) or the sham group at corresponding time points (Mann–Whitney </w:t>
      </w:r>
      <w:r w:rsidRPr="00330BFE">
        <w:rPr>
          <w:i/>
          <w:iCs/>
        </w:rPr>
        <w:t>U</w:t>
      </w:r>
      <w:r w:rsidRPr="00330BFE">
        <w:t>-test).</w:t>
      </w:r>
    </w:p>
    <w:p w14:paraId="5A17D223" w14:textId="60316470" w:rsidR="00330BFE" w:rsidRDefault="00330BFE" w:rsidP="00330BFE"/>
    <w:p w14:paraId="7555A1A9" w14:textId="05CB8823" w:rsidR="00330BFE" w:rsidRDefault="00330BFE" w:rsidP="00330BFE">
      <w:r>
        <w:rPr>
          <w:rFonts w:hint="eastAsia"/>
          <w:noProof/>
        </w:rPr>
        <w:lastRenderedPageBreak/>
        <w:drawing>
          <wp:inline distT="0" distB="0" distL="0" distR="0" wp14:anchorId="71B483A5" wp14:editId="3AC07EC1">
            <wp:extent cx="5715000" cy="3419475"/>
            <wp:effectExtent l="0" t="0" r="0" b="9525"/>
            <wp:docPr id="15666502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15000" cy="3419475"/>
                    </a:xfrm>
                    <a:prstGeom prst="rect">
                      <a:avLst/>
                    </a:prstGeom>
                    <a:noFill/>
                  </pic:spPr>
                </pic:pic>
              </a:graphicData>
            </a:graphic>
          </wp:inline>
        </w:drawing>
      </w:r>
    </w:p>
    <w:p w14:paraId="1A659D2D" w14:textId="0F52A1BA" w:rsidR="00330BFE" w:rsidRDefault="00330BFE" w:rsidP="00330BFE">
      <w:r w:rsidRPr="00330BFE">
        <w:t>Single dose of AMD3100 or CXCL12-neutralizing antibody transiently and partially ameliorates SNI-induced mechanical allodynia. </w:t>
      </w:r>
      <w:r w:rsidRPr="00330BFE">
        <w:rPr>
          <w:b/>
          <w:bCs/>
        </w:rPr>
        <w:t>A</w:t>
      </w:r>
      <w:r w:rsidRPr="00330BFE">
        <w:t> An i.t. bolus of CXCL12-neutralizing antibody on day 8 alleviated the SNI-induced allodynia behavior. **</w:t>
      </w:r>
      <w:r w:rsidRPr="00330BFE">
        <w:rPr>
          <w:i/>
          <w:iCs/>
        </w:rPr>
        <w:t>P</w:t>
      </w:r>
      <w:r w:rsidRPr="00330BFE">
        <w:t> &lt; 0.01, ***</w:t>
      </w:r>
      <w:r w:rsidRPr="00330BFE">
        <w:rPr>
          <w:i/>
          <w:iCs/>
        </w:rPr>
        <w:t>P</w:t>
      </w:r>
      <w:r w:rsidRPr="00330BFE">
        <w:t> &lt; 0.001 </w:t>
      </w:r>
      <w:r w:rsidRPr="00330BFE">
        <w:rPr>
          <w:i/>
          <w:iCs/>
        </w:rPr>
        <w:t>vs</w:t>
      </w:r>
      <w:r w:rsidRPr="00330BFE">
        <w:t> control i.t. IgG group, Mann–Whitney </w:t>
      </w:r>
      <w:r w:rsidRPr="00330BFE">
        <w:rPr>
          <w:i/>
          <w:iCs/>
        </w:rPr>
        <w:t>U</w:t>
      </w:r>
      <w:r w:rsidRPr="00330BFE">
        <w:t>-test; </w:t>
      </w:r>
      <w:r w:rsidRPr="00330BFE">
        <w:rPr>
          <w:vertAlign w:val="superscript"/>
        </w:rPr>
        <w:t>##</w:t>
      </w:r>
      <w:r w:rsidRPr="00330BFE">
        <w:t> </w:t>
      </w:r>
      <w:r w:rsidRPr="00330BFE">
        <w:rPr>
          <w:i/>
          <w:iCs/>
        </w:rPr>
        <w:t>P</w:t>
      </w:r>
      <w:r w:rsidRPr="00330BFE">
        <w:t> &lt; 0.01 </w:t>
      </w:r>
      <w:r w:rsidRPr="00330BFE">
        <w:rPr>
          <w:i/>
          <w:iCs/>
        </w:rPr>
        <w:t>vs</w:t>
      </w:r>
      <w:r w:rsidRPr="00330BFE">
        <w:t> preoperative baseline (BL), Mann–Whitney </w:t>
      </w:r>
      <w:r w:rsidRPr="00330BFE">
        <w:rPr>
          <w:i/>
          <w:iCs/>
        </w:rPr>
        <w:t>U</w:t>
      </w:r>
      <w:r w:rsidRPr="00330BFE">
        <w:t>-test. </w:t>
      </w:r>
      <w:r w:rsidRPr="00330BFE">
        <w:rPr>
          <w:b/>
          <w:bCs/>
        </w:rPr>
        <w:t>B</w:t>
      </w:r>
      <w:r w:rsidRPr="00330BFE">
        <w:t> An i.t. bolus of AMD3100 on day 8 attenuated the SNI-induced mechanical allodynia. *</w:t>
      </w:r>
      <w:r w:rsidRPr="00330BFE">
        <w:rPr>
          <w:i/>
          <w:iCs/>
        </w:rPr>
        <w:t>P</w:t>
      </w:r>
      <w:r w:rsidRPr="00330BFE">
        <w:t> &lt; 0.05; **</w:t>
      </w:r>
      <w:r w:rsidRPr="00330BFE">
        <w:rPr>
          <w:i/>
          <w:iCs/>
        </w:rPr>
        <w:t>P</w:t>
      </w:r>
      <w:r w:rsidRPr="00330BFE">
        <w:t> &lt; 0.01 </w:t>
      </w:r>
      <w:r w:rsidRPr="00330BFE">
        <w:rPr>
          <w:i/>
          <w:iCs/>
        </w:rPr>
        <w:t>vs</w:t>
      </w:r>
      <w:r w:rsidRPr="00330BFE">
        <w:t> i.t. saline group, Mann–Whitney </w:t>
      </w:r>
      <w:r w:rsidRPr="00330BFE">
        <w:rPr>
          <w:i/>
          <w:iCs/>
        </w:rPr>
        <w:t>U</w:t>
      </w:r>
      <w:r w:rsidRPr="00330BFE">
        <w:t>-test; </w:t>
      </w:r>
      <w:r w:rsidRPr="00330BFE">
        <w:rPr>
          <w:vertAlign w:val="superscript"/>
        </w:rPr>
        <w:t>##</w:t>
      </w:r>
      <w:r w:rsidRPr="00330BFE">
        <w:t> </w:t>
      </w:r>
      <w:r w:rsidRPr="00330BFE">
        <w:rPr>
          <w:i/>
          <w:iCs/>
        </w:rPr>
        <w:t>P</w:t>
      </w:r>
      <w:r w:rsidRPr="00330BFE">
        <w:t> &lt; 0.01 </w:t>
      </w:r>
      <w:r w:rsidRPr="00330BFE">
        <w:rPr>
          <w:i/>
          <w:iCs/>
        </w:rPr>
        <w:t>vs</w:t>
      </w:r>
      <w:r w:rsidRPr="00330BFE">
        <w:t> preoperative baseline, Mann–Whitney </w:t>
      </w:r>
      <w:r w:rsidRPr="00330BFE">
        <w:rPr>
          <w:i/>
          <w:iCs/>
        </w:rPr>
        <w:t>U</w:t>
      </w:r>
      <w:r w:rsidRPr="00330BFE">
        <w:t>-test. </w:t>
      </w:r>
      <w:r w:rsidRPr="00330BFE">
        <w:rPr>
          <w:b/>
          <w:bCs/>
        </w:rPr>
        <w:t>C</w:t>
      </w:r>
      <w:r w:rsidRPr="00330BFE">
        <w:t> A single intraperitoneal (</w:t>
      </w:r>
      <w:proofErr w:type="spellStart"/>
      <w:r w:rsidRPr="00330BFE">
        <w:t>i.p.</w:t>
      </w:r>
      <w:proofErr w:type="spellEnd"/>
      <w:r w:rsidRPr="00330BFE">
        <w:t>) injection of AMD3100 (5 mg/kg) on day 8 inhibited the SNI-induced reduction of PWT. *</w:t>
      </w:r>
      <w:r w:rsidRPr="00330BFE">
        <w:rPr>
          <w:i/>
          <w:iCs/>
        </w:rPr>
        <w:t>P</w:t>
      </w:r>
      <w:r w:rsidRPr="00330BFE">
        <w:t> &lt; 0.05; **</w:t>
      </w:r>
      <w:r w:rsidRPr="00330BFE">
        <w:rPr>
          <w:i/>
          <w:iCs/>
        </w:rPr>
        <w:t>P</w:t>
      </w:r>
      <w:r w:rsidRPr="00330BFE">
        <w:t> &lt; 0.01 </w:t>
      </w:r>
      <w:r w:rsidRPr="00330BFE">
        <w:rPr>
          <w:i/>
          <w:iCs/>
        </w:rPr>
        <w:t>vs</w:t>
      </w:r>
      <w:r w:rsidRPr="00330BFE">
        <w:t> </w:t>
      </w:r>
      <w:proofErr w:type="spellStart"/>
      <w:r w:rsidRPr="00330BFE">
        <w:t>i.p.</w:t>
      </w:r>
      <w:proofErr w:type="spellEnd"/>
      <w:r w:rsidRPr="00330BFE">
        <w:t xml:space="preserve"> saline group, Mann–Whitney </w:t>
      </w:r>
      <w:r w:rsidRPr="00330BFE">
        <w:rPr>
          <w:i/>
          <w:iCs/>
        </w:rPr>
        <w:t>U</w:t>
      </w:r>
      <w:r w:rsidRPr="00330BFE">
        <w:t>-test; </w:t>
      </w:r>
      <w:r w:rsidRPr="00330BFE">
        <w:rPr>
          <w:vertAlign w:val="superscript"/>
        </w:rPr>
        <w:t>##</w:t>
      </w:r>
      <w:r w:rsidRPr="00330BFE">
        <w:t> </w:t>
      </w:r>
      <w:r w:rsidRPr="00330BFE">
        <w:rPr>
          <w:i/>
          <w:iCs/>
        </w:rPr>
        <w:t>P</w:t>
      </w:r>
      <w:r w:rsidRPr="00330BFE">
        <w:t> &lt; 0.01 </w:t>
      </w:r>
      <w:r w:rsidRPr="00330BFE">
        <w:rPr>
          <w:i/>
          <w:iCs/>
        </w:rPr>
        <w:t>vs</w:t>
      </w:r>
      <w:r w:rsidRPr="00330BFE">
        <w:t> preoperative baseline, Mann–Whitney </w:t>
      </w:r>
      <w:r w:rsidRPr="00330BFE">
        <w:rPr>
          <w:i/>
          <w:iCs/>
        </w:rPr>
        <w:t>U</w:t>
      </w:r>
      <w:r w:rsidRPr="00330BFE">
        <w:t>-test. </w:t>
      </w:r>
      <w:r w:rsidRPr="00330BFE">
        <w:rPr>
          <w:b/>
          <w:bCs/>
        </w:rPr>
        <w:t>D</w:t>
      </w:r>
      <w:r w:rsidRPr="00330BFE">
        <w:t> An i.t. bolus of AMD3100 on day 8 after SNI inhibited the activation of ERK in spinal cord (*</w:t>
      </w:r>
      <w:r w:rsidRPr="00330BFE">
        <w:rPr>
          <w:i/>
          <w:iCs/>
        </w:rPr>
        <w:t>P</w:t>
      </w:r>
      <w:r w:rsidRPr="00330BFE">
        <w:t> &lt; 0.05 </w:t>
      </w:r>
      <w:r w:rsidRPr="00330BFE">
        <w:rPr>
          <w:i/>
          <w:iCs/>
        </w:rPr>
        <w:t>vs</w:t>
      </w:r>
      <w:r w:rsidRPr="00330BFE">
        <w:t> SNI + i.t. saline group, Student’s </w:t>
      </w:r>
      <w:r w:rsidRPr="00330BFE">
        <w:rPr>
          <w:i/>
          <w:iCs/>
        </w:rPr>
        <w:t>t</w:t>
      </w:r>
      <w:r w:rsidRPr="00330BFE">
        <w:t>-test). Sa: saline.</w:t>
      </w:r>
    </w:p>
    <w:p w14:paraId="092D25E0" w14:textId="77777777" w:rsidR="00330BFE" w:rsidRDefault="00330BFE" w:rsidP="00330BFE"/>
    <w:p w14:paraId="7C6CE2A6" w14:textId="77777777" w:rsidR="00330BFE" w:rsidRDefault="00330BFE" w:rsidP="00330BFE"/>
    <w:p w14:paraId="682E5274" w14:textId="77777777" w:rsidR="00330BFE" w:rsidRPr="00330BFE" w:rsidRDefault="00330BFE" w:rsidP="00330BFE">
      <w:pPr>
        <w:rPr>
          <w:b/>
          <w:bCs/>
        </w:rPr>
      </w:pPr>
      <w:r w:rsidRPr="00330BFE">
        <w:rPr>
          <w:b/>
          <w:bCs/>
        </w:rPr>
        <w:t>Behavioral Test for Allodynia</w:t>
      </w:r>
    </w:p>
    <w:p w14:paraId="541E1D82" w14:textId="77777777" w:rsidR="00330BFE" w:rsidRPr="00330BFE" w:rsidRDefault="00330BFE" w:rsidP="00330BFE">
      <w:r w:rsidRPr="00330BFE">
        <w:t>Animals were habituated to the testing environment daily for at least two days before baseline testing. Before starting the test, animals were placed in boxes on an elevated metal mesh floor and allowed 30 min for habituation. The room temperature and humidity remained stable in all experiments. Mechanical allodynia was assessed with von Frey hairs using the up-and-down method [</w:t>
      </w:r>
      <w:hyperlink r:id="rId101" w:anchor="ref-CR25" w:tooltip="Dixon WJ: Staircase bioassay: the up-and-down method. Neurosci Biobehav Rev 1991, 15: 47–50." w:history="1">
        <w:r w:rsidRPr="00330BFE">
          <w:rPr>
            <w:rStyle w:val="a7"/>
          </w:rPr>
          <w:t>25</w:t>
        </w:r>
      </w:hyperlink>
      <w:r w:rsidRPr="00330BFE">
        <w:t xml:space="preserve">] following the procedure described by </w:t>
      </w:r>
      <w:proofErr w:type="spellStart"/>
      <w:r w:rsidRPr="00330BFE">
        <w:t>Chaplan</w:t>
      </w:r>
      <w:proofErr w:type="spellEnd"/>
      <w:r w:rsidRPr="00330BFE">
        <w:t> </w:t>
      </w:r>
      <w:r w:rsidRPr="00330BFE">
        <w:rPr>
          <w:i/>
          <w:iCs/>
        </w:rPr>
        <w:t>et al.</w:t>
      </w:r>
      <w:r w:rsidRPr="00330BFE">
        <w:t> [</w:t>
      </w:r>
      <w:hyperlink r:id="rId102" w:anchor="ref-CR26" w:tooltip="Chaplan SR, Bach FW, Pogrel JW, Chung JM, Yaksh TL. Quantitative assessment of tactile allodynia in the rat paw. J Neurosci Methods 1994, 53: 55–63." w:history="1">
        <w:r w:rsidRPr="00330BFE">
          <w:rPr>
            <w:rStyle w:val="a7"/>
          </w:rPr>
          <w:t>26</w:t>
        </w:r>
      </w:hyperlink>
      <w:r w:rsidRPr="00330BFE">
        <w:t xml:space="preserve">]. Briefly, a series of von Frey hairs with logarithmically incremental stiffness (0.41, 0.70, 1.20, 2.04, 3.63, 5.50, 8.51, and 15.14 g) were applied to the plantar surface of both hind paws. The 2.04 g stimulus was applied first. In the event of no paw withdrawal, the next stronger stimulus was used. If the paw was withdrawn, a weaker stimulus was applied. By repeating this procedure, the stimulus strength that corresponded to a 50% response rate was determined by interpolation. All behavioral tests were performed by an investigator who was blind to the </w:t>
      </w:r>
      <w:r w:rsidRPr="00330BFE">
        <w:lastRenderedPageBreak/>
        <w:t>experimental group.</w:t>
      </w:r>
    </w:p>
    <w:p w14:paraId="4943815B" w14:textId="7CE7ED8F" w:rsidR="00330BFE" w:rsidRDefault="00330BFE">
      <w:pPr>
        <w:widowControl/>
        <w:jc w:val="left"/>
        <w:rPr>
          <w:b/>
          <w:bCs/>
        </w:rPr>
      </w:pPr>
      <w:r>
        <w:rPr>
          <w:rFonts w:hint="eastAsia"/>
          <w:b/>
          <w:bCs/>
        </w:rPr>
        <w:br w:type="page"/>
      </w:r>
    </w:p>
    <w:p w14:paraId="6891886C" w14:textId="3010EFD2" w:rsidR="00330BFE" w:rsidRDefault="00A75605" w:rsidP="00330BFE">
      <w:pPr>
        <w:rPr>
          <w:b/>
          <w:bCs/>
        </w:rPr>
      </w:pPr>
      <w:r>
        <w:rPr>
          <w:rFonts w:hint="eastAsia"/>
        </w:rPr>
        <w:lastRenderedPageBreak/>
        <w:t>17.</w:t>
      </w:r>
      <w:hyperlink r:id="rId103" w:anchor="Fig1" w:history="1">
        <w:r w:rsidR="00067B60" w:rsidRPr="00067B60">
          <w:rPr>
            <w:rStyle w:val="a7"/>
            <w:b/>
            <w:bCs/>
          </w:rPr>
          <w:t>The critical role of amygdala subnuclei in nociceptive and depressive-like behaviors in peripheral neuropathy | Scientific Reports</w:t>
        </w:r>
      </w:hyperlink>
    </w:p>
    <w:p w14:paraId="3900B78E" w14:textId="77777777" w:rsidR="00067B60" w:rsidRDefault="00067B60" w:rsidP="00330BFE">
      <w:pPr>
        <w:rPr>
          <w:b/>
          <w:bCs/>
        </w:rPr>
      </w:pPr>
    </w:p>
    <w:p w14:paraId="655B6F58" w14:textId="77777777" w:rsidR="00067B60" w:rsidRPr="00067B60" w:rsidRDefault="00067B60" w:rsidP="00067B60">
      <w:pPr>
        <w:rPr>
          <w:b/>
          <w:bCs/>
        </w:rPr>
      </w:pPr>
      <w:r w:rsidRPr="00067B60">
        <w:rPr>
          <w:rFonts w:hint="eastAsia"/>
          <w:b/>
          <w:bCs/>
        </w:rPr>
        <w:t>The critical role of amygdala subnuclei in nociceptive and depressive-like behaviors in peripheral neuropathy</w:t>
      </w:r>
    </w:p>
    <w:p w14:paraId="55F79717" w14:textId="7FCB7442" w:rsidR="00067B60" w:rsidRDefault="00067B60" w:rsidP="00067B60">
      <w:proofErr w:type="spellStart"/>
      <w:r w:rsidRPr="00067B60">
        <w:rPr>
          <w:rFonts w:hint="eastAsia"/>
        </w:rPr>
        <w:t>Midiã</w:t>
      </w:r>
      <w:proofErr w:type="spellEnd"/>
      <w:r w:rsidRPr="00067B60">
        <w:rPr>
          <w:rFonts w:hint="eastAsia"/>
        </w:rPr>
        <w:t xml:space="preserve"> D. J. Seno, Danielle V. Assis, Flávia Gouveia, </w:t>
      </w:r>
      <w:proofErr w:type="spellStart"/>
      <w:r w:rsidRPr="00067B60">
        <w:rPr>
          <w:rFonts w:hint="eastAsia"/>
        </w:rPr>
        <w:t>Geiza</w:t>
      </w:r>
      <w:proofErr w:type="spellEnd"/>
      <w:r w:rsidRPr="00067B60">
        <w:rPr>
          <w:rFonts w:hint="eastAsia"/>
        </w:rPr>
        <w:t xml:space="preserve"> F. Antunes, Mayra Kuroki, Caroline C. Oliveira, Lennon C. T. Santos, Rosana L. Pagano &amp; Raquel C. R. Martinez</w:t>
      </w:r>
    </w:p>
    <w:p w14:paraId="72B6172E" w14:textId="77777777" w:rsidR="00067B60" w:rsidRDefault="00067B60" w:rsidP="00067B60"/>
    <w:p w14:paraId="0EDB7E42" w14:textId="26FF8CDE" w:rsidR="00067B60" w:rsidRDefault="00067B60" w:rsidP="00067B60">
      <w:r>
        <w:rPr>
          <w:rFonts w:hint="eastAsia"/>
          <w:noProof/>
        </w:rPr>
        <w:drawing>
          <wp:inline distT="0" distB="0" distL="0" distR="0" wp14:anchorId="25F71848" wp14:editId="6BB2B2FB">
            <wp:extent cx="4474845" cy="5195454"/>
            <wp:effectExtent l="0" t="0" r="1905" b="5715"/>
            <wp:docPr id="1207252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498930" cy="5223418"/>
                    </a:xfrm>
                    <a:prstGeom prst="rect">
                      <a:avLst/>
                    </a:prstGeom>
                    <a:noFill/>
                  </pic:spPr>
                </pic:pic>
              </a:graphicData>
            </a:graphic>
          </wp:inline>
        </w:drawing>
      </w:r>
    </w:p>
    <w:p w14:paraId="49E939B2" w14:textId="66739435" w:rsidR="00067B60" w:rsidRDefault="00067B60" w:rsidP="00067B60">
      <w:pPr>
        <w:rPr>
          <w:vertAlign w:val="superscript"/>
        </w:rPr>
      </w:pPr>
      <w:r w:rsidRPr="00067B60">
        <w:t>Evaluation of mechanical hyperalgesia in the right paw of naive rats (n</w:t>
      </w:r>
      <w:r w:rsidRPr="00067B60">
        <w:rPr>
          <w:rFonts w:ascii="MS Gothic" w:eastAsia="MS Gothic" w:hAnsi="MS Gothic" w:cs="MS Gothic" w:hint="eastAsia"/>
        </w:rPr>
        <w:t> </w:t>
      </w:r>
      <w:r w:rsidRPr="00067B60">
        <w:t>=</w:t>
      </w:r>
      <w:r w:rsidRPr="00067B60">
        <w:rPr>
          <w:rFonts w:ascii="MS Gothic" w:eastAsia="MS Gothic" w:hAnsi="MS Gothic" w:cs="MS Gothic" w:hint="eastAsia"/>
        </w:rPr>
        <w:t> </w:t>
      </w:r>
      <w:r w:rsidRPr="00067B60">
        <w:t>4), sham-operated rats (Sham, n</w:t>
      </w:r>
      <w:r w:rsidRPr="00067B60">
        <w:rPr>
          <w:rFonts w:ascii="MS Gothic" w:eastAsia="MS Gothic" w:hAnsi="MS Gothic" w:cs="MS Gothic" w:hint="eastAsia"/>
        </w:rPr>
        <w:t> </w:t>
      </w:r>
      <w:r w:rsidRPr="00067B60">
        <w:t>=</w:t>
      </w:r>
      <w:r w:rsidRPr="00067B60">
        <w:rPr>
          <w:rFonts w:ascii="MS Gothic" w:eastAsia="MS Gothic" w:hAnsi="MS Gothic" w:cs="MS Gothic" w:hint="eastAsia"/>
        </w:rPr>
        <w:t> </w:t>
      </w:r>
      <w:r w:rsidRPr="00067B60">
        <w:t>6) and animals submitted to chronic constriction injury of the sciatic nerve (CCI, n</w:t>
      </w:r>
      <w:r w:rsidRPr="00067B60">
        <w:rPr>
          <w:rFonts w:ascii="MS Gothic" w:eastAsia="MS Gothic" w:hAnsi="MS Gothic" w:cs="MS Gothic" w:hint="eastAsia"/>
        </w:rPr>
        <w:t> </w:t>
      </w:r>
      <w:r w:rsidRPr="00067B60">
        <w:t>=</w:t>
      </w:r>
      <w:r w:rsidRPr="00067B60">
        <w:rPr>
          <w:rFonts w:ascii="MS Gothic" w:eastAsia="MS Gothic" w:hAnsi="MS Gothic" w:cs="MS Gothic" w:hint="eastAsia"/>
        </w:rPr>
        <w:t> </w:t>
      </w:r>
      <w:r w:rsidRPr="00067B60">
        <w:t>6). Measurements were taken before (basal measurement, M1 - black) and after the surgical procedure or equivalent (measurement 2, M2 - gray) (</w:t>
      </w:r>
      <w:r w:rsidRPr="00067B60">
        <w:rPr>
          <w:b/>
          <w:bCs/>
        </w:rPr>
        <w:t>A</w:t>
      </w:r>
      <w:r w:rsidRPr="00067B60">
        <w:t>). Evaluation of mechanical allodynia using the von Frey filaments in the right paw of naive, sham and CCI rats (</w:t>
      </w:r>
      <w:r w:rsidRPr="00067B60">
        <w:rPr>
          <w:b/>
          <w:bCs/>
        </w:rPr>
        <w:t>B</w:t>
      </w:r>
      <w:r w:rsidRPr="00067B60">
        <w:t>). Mean density of c-</w:t>
      </w:r>
      <w:proofErr w:type="spellStart"/>
      <w:r w:rsidRPr="00067B60">
        <w:t>Fos</w:t>
      </w:r>
      <w:proofErr w:type="spellEnd"/>
      <w:r w:rsidRPr="00067B60">
        <w:t>-IR in naive, sham and CCI rats was evaluated in the basolateral nucleus (BLA) of the ipsilateral (corresponding to the right) or contralateral (corresponding to the left) amygdala. Measurements were obtained for the anterior (</w:t>
      </w:r>
      <w:proofErr w:type="spellStart"/>
      <w:r w:rsidRPr="00067B60">
        <w:t>BLAa</w:t>
      </w:r>
      <w:proofErr w:type="spellEnd"/>
      <w:r w:rsidRPr="00067B60">
        <w:t>) and posterior (BLP) portions and their average (</w:t>
      </w:r>
      <w:proofErr w:type="spellStart"/>
      <w:r w:rsidRPr="00067B60">
        <w:t>BLAa</w:t>
      </w:r>
      <w:proofErr w:type="spellEnd"/>
      <w:r w:rsidRPr="00067B60">
        <w:rPr>
          <w:rFonts w:ascii="MS Gothic" w:eastAsia="MS Gothic" w:hAnsi="MS Gothic" w:cs="MS Gothic" w:hint="eastAsia"/>
        </w:rPr>
        <w:t> </w:t>
      </w:r>
      <w:r w:rsidRPr="00067B60">
        <w:t>+</w:t>
      </w:r>
      <w:r w:rsidRPr="00067B60">
        <w:rPr>
          <w:rFonts w:ascii="MS Gothic" w:eastAsia="MS Gothic" w:hAnsi="MS Gothic" w:cs="MS Gothic" w:hint="eastAsia"/>
        </w:rPr>
        <w:t> </w:t>
      </w:r>
      <w:r w:rsidRPr="00067B60">
        <w:t xml:space="preserve">BLP) for the ipsilateral (corresponding to the right) and </w:t>
      </w:r>
      <w:r w:rsidRPr="00067B60">
        <w:lastRenderedPageBreak/>
        <w:t>contralateral (corresponding to the left) amygdala (</w:t>
      </w:r>
      <w:r w:rsidRPr="00067B60">
        <w:rPr>
          <w:b/>
          <w:bCs/>
        </w:rPr>
        <w:t>C</w:t>
      </w:r>
      <w:r w:rsidRPr="00067B60">
        <w:t>). The mean density of c-</w:t>
      </w:r>
      <w:proofErr w:type="spellStart"/>
      <w:r w:rsidRPr="00067B60">
        <w:t>Fos</w:t>
      </w:r>
      <w:proofErr w:type="spellEnd"/>
      <w:r w:rsidRPr="00067B60">
        <w:t>-IR was evaluated in naive, sham and CCI rats in the lateral nucleus (LA) of the ipsilateral (corresponding to the right) or contralateral (corresponding to the left) amygdala. Measurements were obtained for the dorsolateral (</w:t>
      </w:r>
      <w:proofErr w:type="spellStart"/>
      <w:r w:rsidRPr="00067B60">
        <w:t>LAdl</w:t>
      </w:r>
      <w:proofErr w:type="spellEnd"/>
      <w:r w:rsidRPr="00067B60">
        <w:t>) and ventrolateral (</w:t>
      </w:r>
      <w:proofErr w:type="spellStart"/>
      <w:r w:rsidRPr="00067B60">
        <w:t>LAvl</w:t>
      </w:r>
      <w:proofErr w:type="spellEnd"/>
      <w:r w:rsidRPr="00067B60">
        <w:t>) portions of the nucleus and their average (</w:t>
      </w:r>
      <w:proofErr w:type="spellStart"/>
      <w:r w:rsidRPr="00067B60">
        <w:t>LAdl</w:t>
      </w:r>
      <w:proofErr w:type="spellEnd"/>
      <w:r w:rsidRPr="00067B60">
        <w:rPr>
          <w:rFonts w:ascii="MS Gothic" w:eastAsia="MS Gothic" w:hAnsi="MS Gothic" w:cs="MS Gothic" w:hint="eastAsia"/>
        </w:rPr>
        <w:t> </w:t>
      </w:r>
      <w:r w:rsidRPr="00067B60">
        <w:t>+</w:t>
      </w:r>
      <w:r w:rsidRPr="00067B60">
        <w:rPr>
          <w:rFonts w:ascii="MS Gothic" w:eastAsia="MS Gothic" w:hAnsi="MS Gothic" w:cs="MS Gothic" w:hint="eastAsia"/>
        </w:rPr>
        <w:t> </w:t>
      </w:r>
      <w:proofErr w:type="spellStart"/>
      <w:r w:rsidRPr="00067B60">
        <w:t>LAvl</w:t>
      </w:r>
      <w:proofErr w:type="spellEnd"/>
      <w:r w:rsidRPr="00067B60">
        <w:t>) (</w:t>
      </w:r>
      <w:r w:rsidRPr="00067B60">
        <w:rPr>
          <w:b/>
          <w:bCs/>
        </w:rPr>
        <w:t>D</w:t>
      </w:r>
      <w:r w:rsidRPr="00067B60">
        <w:t>). The mean density of c-</w:t>
      </w:r>
      <w:proofErr w:type="spellStart"/>
      <w:r w:rsidRPr="00067B60">
        <w:t>Fos</w:t>
      </w:r>
      <w:proofErr w:type="spellEnd"/>
      <w:r w:rsidRPr="00067B60">
        <w:t>-IR was evaluated in naive, sham and CCI rats in the central nucleus of the amygdala (</w:t>
      </w:r>
      <w:proofErr w:type="spellStart"/>
      <w:r w:rsidRPr="00067B60">
        <w:t>CeA</w:t>
      </w:r>
      <w:proofErr w:type="spellEnd"/>
      <w:r w:rsidRPr="00067B60">
        <w:t>) in both the ipsilateral (corresponding to the right) and contralateral (corresponding to the left) hemispheres. Measurements were obtained for the medial (</w:t>
      </w:r>
      <w:proofErr w:type="spellStart"/>
      <w:r w:rsidRPr="00067B60">
        <w:t>CeAm</w:t>
      </w:r>
      <w:proofErr w:type="spellEnd"/>
      <w:r w:rsidRPr="00067B60">
        <w:t>), central (</w:t>
      </w:r>
      <w:proofErr w:type="spellStart"/>
      <w:r w:rsidRPr="00067B60">
        <w:t>CeAc</w:t>
      </w:r>
      <w:proofErr w:type="spellEnd"/>
      <w:r w:rsidRPr="00067B60">
        <w:t>) and lateral (</w:t>
      </w:r>
      <w:proofErr w:type="spellStart"/>
      <w:r w:rsidRPr="00067B60">
        <w:t>CeAl</w:t>
      </w:r>
      <w:proofErr w:type="spellEnd"/>
      <w:r w:rsidRPr="00067B60">
        <w:t>) portions and their average (</w:t>
      </w:r>
      <w:proofErr w:type="spellStart"/>
      <w:r w:rsidRPr="00067B60">
        <w:t>CeAm</w:t>
      </w:r>
      <w:proofErr w:type="spellEnd"/>
      <w:r w:rsidRPr="00067B60">
        <w:rPr>
          <w:rFonts w:ascii="MS Gothic" w:eastAsia="MS Gothic" w:hAnsi="MS Gothic" w:cs="MS Gothic" w:hint="eastAsia"/>
        </w:rPr>
        <w:t> </w:t>
      </w:r>
      <w:r w:rsidRPr="00067B60">
        <w:t>+</w:t>
      </w:r>
      <w:r w:rsidRPr="00067B60">
        <w:rPr>
          <w:rFonts w:ascii="MS Gothic" w:eastAsia="MS Gothic" w:hAnsi="MS Gothic" w:cs="MS Gothic" w:hint="eastAsia"/>
        </w:rPr>
        <w:t> </w:t>
      </w:r>
      <w:proofErr w:type="spellStart"/>
      <w:r w:rsidRPr="00067B60">
        <w:t>CeAc</w:t>
      </w:r>
      <w:proofErr w:type="spellEnd"/>
      <w:r w:rsidRPr="00067B60">
        <w:rPr>
          <w:rFonts w:ascii="MS Gothic" w:eastAsia="MS Gothic" w:hAnsi="MS Gothic" w:cs="MS Gothic" w:hint="eastAsia"/>
        </w:rPr>
        <w:t> </w:t>
      </w:r>
      <w:r w:rsidRPr="00067B60">
        <w:t>+</w:t>
      </w:r>
      <w:r w:rsidRPr="00067B60">
        <w:rPr>
          <w:rFonts w:ascii="MS Gothic" w:eastAsia="MS Gothic" w:hAnsi="MS Gothic" w:cs="MS Gothic" w:hint="eastAsia"/>
        </w:rPr>
        <w:t> </w:t>
      </w:r>
      <w:proofErr w:type="spellStart"/>
      <w:r w:rsidRPr="00067B60">
        <w:t>CeAl</w:t>
      </w:r>
      <w:proofErr w:type="spellEnd"/>
      <w:r w:rsidRPr="00067B60">
        <w:t>) (</w:t>
      </w:r>
      <w:r w:rsidRPr="00067B60">
        <w:rPr>
          <w:b/>
          <w:bCs/>
        </w:rPr>
        <w:t>E</w:t>
      </w:r>
      <w:r w:rsidRPr="00067B60">
        <w:t>). The data shown represent the means</w:t>
      </w:r>
      <w:r w:rsidRPr="00067B60">
        <w:rPr>
          <w:rFonts w:ascii="MS Gothic" w:eastAsia="MS Gothic" w:hAnsi="MS Gothic" w:cs="MS Gothic" w:hint="eastAsia"/>
        </w:rPr>
        <w:t> </w:t>
      </w:r>
      <w:r w:rsidRPr="00067B60">
        <w:rPr>
          <w:rFonts w:ascii="等线" w:eastAsia="等线" w:hAnsi="等线" w:cs="等线" w:hint="eastAsia"/>
        </w:rPr>
        <w:t>±</w:t>
      </w:r>
      <w:r w:rsidRPr="00067B60">
        <w:rPr>
          <w:rFonts w:ascii="MS Gothic" w:eastAsia="MS Gothic" w:hAnsi="MS Gothic" w:cs="MS Gothic" w:hint="eastAsia"/>
        </w:rPr>
        <w:t> </w:t>
      </w:r>
      <w:r w:rsidRPr="00067B60">
        <w:t>SEM, or dot plot for the behavioral data. *P</w:t>
      </w:r>
      <w:r w:rsidRPr="00067B60">
        <w:rPr>
          <w:rFonts w:ascii="MS Gothic" w:eastAsia="MS Gothic" w:hAnsi="MS Gothic" w:cs="MS Gothic" w:hint="eastAsia"/>
        </w:rPr>
        <w:t> </w:t>
      </w:r>
      <w:r w:rsidRPr="00067B60">
        <w:t>&lt;</w:t>
      </w:r>
      <w:r w:rsidRPr="00067B60">
        <w:rPr>
          <w:rFonts w:ascii="MS Gothic" w:eastAsia="MS Gothic" w:hAnsi="MS Gothic" w:cs="MS Gothic" w:hint="eastAsia"/>
        </w:rPr>
        <w:t> </w:t>
      </w:r>
      <w:r w:rsidRPr="00067B60">
        <w:t>0.05 vs. all other measurements,</w:t>
      </w:r>
      <w:r w:rsidRPr="00067B60">
        <w:rPr>
          <w:rFonts w:ascii="等线" w:eastAsia="等线" w:hAnsi="等线" w:cs="等线" w:hint="eastAsia"/>
        </w:rPr>
        <w:t> </w:t>
      </w:r>
      <w:r w:rsidRPr="00067B60">
        <w:t>P</w:t>
      </w:r>
      <w:r w:rsidRPr="00067B60">
        <w:rPr>
          <w:rFonts w:ascii="MS Gothic" w:eastAsia="MS Gothic" w:hAnsi="MS Gothic" w:cs="MS Gothic" w:hint="eastAsia"/>
        </w:rPr>
        <w:t> </w:t>
      </w:r>
      <w:r w:rsidRPr="00067B60">
        <w:t>&lt;</w:t>
      </w:r>
      <w:r w:rsidRPr="00067B60">
        <w:rPr>
          <w:rFonts w:ascii="MS Gothic" w:eastAsia="MS Gothic" w:hAnsi="MS Gothic" w:cs="MS Gothic" w:hint="eastAsia"/>
        </w:rPr>
        <w:t> </w:t>
      </w:r>
      <w:r w:rsidRPr="00067B60">
        <w:t xml:space="preserve">0.05 vs. sham group performers. IR: </w:t>
      </w:r>
      <w:proofErr w:type="gramStart"/>
      <w:r w:rsidRPr="00067B60">
        <w:t>immunoreactivity.</w:t>
      </w:r>
      <w:r w:rsidRPr="00067B60">
        <w:rPr>
          <w:vertAlign w:val="superscript"/>
        </w:rPr>
        <w:t>#</w:t>
      </w:r>
      <w:proofErr w:type="gramEnd"/>
    </w:p>
    <w:p w14:paraId="35F109CC" w14:textId="77777777" w:rsidR="00067B60" w:rsidRDefault="00067B60" w:rsidP="00067B60">
      <w:pPr>
        <w:rPr>
          <w:vertAlign w:val="superscript"/>
        </w:rPr>
      </w:pPr>
    </w:p>
    <w:p w14:paraId="70F1E99E" w14:textId="3D7102B6" w:rsidR="00067B60" w:rsidRDefault="00067B60" w:rsidP="00067B60">
      <w:r>
        <w:rPr>
          <w:rFonts w:hint="eastAsia"/>
          <w:noProof/>
        </w:rPr>
        <w:drawing>
          <wp:inline distT="0" distB="0" distL="0" distR="0" wp14:anchorId="1C90AF72" wp14:editId="0B97833D">
            <wp:extent cx="6205970" cy="4013496"/>
            <wp:effectExtent l="0" t="0" r="4445" b="6350"/>
            <wp:docPr id="9861690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215287" cy="4019521"/>
                    </a:xfrm>
                    <a:prstGeom prst="rect">
                      <a:avLst/>
                    </a:prstGeom>
                    <a:noFill/>
                  </pic:spPr>
                </pic:pic>
              </a:graphicData>
            </a:graphic>
          </wp:inline>
        </w:drawing>
      </w:r>
    </w:p>
    <w:p w14:paraId="637A2B93" w14:textId="3D9B1031" w:rsidR="00067B60" w:rsidRDefault="00067B60" w:rsidP="00067B60">
      <w:r w:rsidRPr="00067B60">
        <w:t xml:space="preserve">Evaluation of mechanical hyperalgesia in the right hind paw of naive and sham-operated rats (Sham) and animals submitted to chronic constriction injury (CCI) of the sciatic nerve. Basal measurements (M1 - black), measurement 2 (M2 - dark gray) and those taken after the microinjection (M3 - light gray) of saline or </w:t>
      </w:r>
      <w:proofErr w:type="spellStart"/>
      <w:r w:rsidRPr="00067B60">
        <w:t>muscimol</w:t>
      </w:r>
      <w:proofErr w:type="spellEnd"/>
      <w:r w:rsidRPr="00067B60">
        <w:t xml:space="preserve"> targeted to the basolateral (BLA) (</w:t>
      </w:r>
      <w:r w:rsidRPr="00067B60">
        <w:rPr>
          <w:b/>
          <w:bCs/>
        </w:rPr>
        <w:t>A</w:t>
      </w:r>
      <w:r w:rsidRPr="00067B60">
        <w:t>) or central (</w:t>
      </w:r>
      <w:proofErr w:type="spellStart"/>
      <w:r w:rsidRPr="00067B60">
        <w:t>CeA</w:t>
      </w:r>
      <w:proofErr w:type="spellEnd"/>
      <w:r w:rsidRPr="00067B60">
        <w:t>) (</w:t>
      </w:r>
      <w:r w:rsidRPr="00067B60">
        <w:rPr>
          <w:b/>
          <w:bCs/>
        </w:rPr>
        <w:t>B</w:t>
      </w:r>
      <w:r w:rsidRPr="00067B60">
        <w:t>) nucleus of the amygdala are shown. Mechanical allodynia was evaluated using von Frey filaments in the right hind paw at M1, M2 and M3 in naive, sham and CCI animals with cannulas targeted to the bilateral BLA (</w:t>
      </w:r>
      <w:r w:rsidRPr="00067B60">
        <w:rPr>
          <w:b/>
          <w:bCs/>
        </w:rPr>
        <w:t>C</w:t>
      </w:r>
      <w:r w:rsidRPr="00067B60">
        <w:t xml:space="preserve">) or </w:t>
      </w:r>
      <w:proofErr w:type="spellStart"/>
      <w:r w:rsidRPr="00067B60">
        <w:t>CeA</w:t>
      </w:r>
      <w:proofErr w:type="spellEnd"/>
      <w:r w:rsidRPr="00067B60">
        <w:t xml:space="preserve"> (</w:t>
      </w:r>
      <w:r w:rsidRPr="00067B60">
        <w:rPr>
          <w:b/>
          <w:bCs/>
        </w:rPr>
        <w:t>D</w:t>
      </w:r>
      <w:r w:rsidRPr="00067B60">
        <w:t>) nuclei of the amygdala. *P</w:t>
      </w:r>
      <w:r w:rsidRPr="00067B60">
        <w:rPr>
          <w:rFonts w:ascii="MS Gothic" w:eastAsia="MS Gothic" w:hAnsi="MS Gothic" w:cs="MS Gothic" w:hint="eastAsia"/>
        </w:rPr>
        <w:t> </w:t>
      </w:r>
      <w:r w:rsidRPr="00067B60">
        <w:t>&lt;</w:t>
      </w:r>
      <w:r w:rsidRPr="00067B60">
        <w:rPr>
          <w:rFonts w:ascii="MS Gothic" w:eastAsia="MS Gothic" w:hAnsi="MS Gothic" w:cs="MS Gothic" w:hint="eastAsia"/>
        </w:rPr>
        <w:t> </w:t>
      </w:r>
      <w:r w:rsidRPr="00067B60">
        <w:t>0.05 vs. measurement 1 (M1);</w:t>
      </w:r>
      <w:r w:rsidRPr="00067B60">
        <w:rPr>
          <w:rFonts w:ascii="等线" w:eastAsia="等线" w:hAnsi="等线" w:cs="等线" w:hint="eastAsia"/>
        </w:rPr>
        <w:t> </w:t>
      </w:r>
      <w:r w:rsidRPr="00067B60">
        <w:t>P</w:t>
      </w:r>
      <w:r w:rsidRPr="00067B60">
        <w:rPr>
          <w:rFonts w:ascii="MS Gothic" w:eastAsia="MS Gothic" w:hAnsi="MS Gothic" w:cs="MS Gothic" w:hint="eastAsia"/>
        </w:rPr>
        <w:t> </w:t>
      </w:r>
      <w:r w:rsidRPr="00067B60">
        <w:t>&lt;</w:t>
      </w:r>
      <w:r w:rsidRPr="00067B60">
        <w:rPr>
          <w:rFonts w:ascii="MS Gothic" w:eastAsia="MS Gothic" w:hAnsi="MS Gothic" w:cs="MS Gothic" w:hint="eastAsia"/>
        </w:rPr>
        <w:t> </w:t>
      </w:r>
      <w:r w:rsidRPr="00067B60">
        <w:t xml:space="preserve">0.05 vs. CCI rats administered </w:t>
      </w:r>
      <w:proofErr w:type="spellStart"/>
      <w:r w:rsidRPr="00067B60">
        <w:t>muscimol</w:t>
      </w:r>
      <w:proofErr w:type="spellEnd"/>
      <w:r w:rsidRPr="00067B60">
        <w:t xml:space="preserve"> (M3), sham rats microinjected with saline (n</w:t>
      </w:r>
      <w:r w:rsidRPr="00067B60">
        <w:rPr>
          <w:rFonts w:ascii="MS Gothic" w:eastAsia="MS Gothic" w:hAnsi="MS Gothic" w:cs="MS Gothic" w:hint="eastAsia"/>
        </w:rPr>
        <w:t> </w:t>
      </w:r>
      <w:r w:rsidRPr="00067B60">
        <w:t>=</w:t>
      </w:r>
      <w:r w:rsidRPr="00067B60">
        <w:rPr>
          <w:rFonts w:ascii="MS Gothic" w:eastAsia="MS Gothic" w:hAnsi="MS Gothic" w:cs="MS Gothic" w:hint="eastAsia"/>
        </w:rPr>
        <w:t> </w:t>
      </w:r>
      <w:r w:rsidRPr="00067B60">
        <w:t>6/BLA and n</w:t>
      </w:r>
      <w:r w:rsidRPr="00067B60">
        <w:rPr>
          <w:rFonts w:ascii="MS Gothic" w:eastAsia="MS Gothic" w:hAnsi="MS Gothic" w:cs="MS Gothic" w:hint="eastAsia"/>
        </w:rPr>
        <w:t> </w:t>
      </w:r>
      <w:r w:rsidRPr="00067B60">
        <w:t>=</w:t>
      </w:r>
      <w:r w:rsidRPr="00067B60">
        <w:rPr>
          <w:rFonts w:ascii="MS Gothic" w:eastAsia="MS Gothic" w:hAnsi="MS Gothic" w:cs="MS Gothic" w:hint="eastAsia"/>
        </w:rPr>
        <w:t> </w:t>
      </w:r>
      <w:r w:rsidRPr="00067B60">
        <w:t>7/</w:t>
      </w:r>
      <w:proofErr w:type="spellStart"/>
      <w:r w:rsidRPr="00067B60">
        <w:t>CeA</w:t>
      </w:r>
      <w:proofErr w:type="spellEnd"/>
      <w:r w:rsidRPr="00067B60">
        <w:t xml:space="preserve">) or </w:t>
      </w:r>
      <w:proofErr w:type="spellStart"/>
      <w:r w:rsidRPr="00067B60">
        <w:t>muscimol</w:t>
      </w:r>
      <w:proofErr w:type="spellEnd"/>
      <w:r w:rsidRPr="00067B60">
        <w:t xml:space="preserve"> (n</w:t>
      </w:r>
      <w:r w:rsidRPr="00067B60">
        <w:rPr>
          <w:rFonts w:ascii="MS Gothic" w:eastAsia="MS Gothic" w:hAnsi="MS Gothic" w:cs="MS Gothic" w:hint="eastAsia"/>
        </w:rPr>
        <w:t> </w:t>
      </w:r>
      <w:r w:rsidRPr="00067B60">
        <w:t>=</w:t>
      </w:r>
      <w:r w:rsidRPr="00067B60">
        <w:rPr>
          <w:rFonts w:ascii="MS Gothic" w:eastAsia="MS Gothic" w:hAnsi="MS Gothic" w:cs="MS Gothic" w:hint="eastAsia"/>
        </w:rPr>
        <w:t> </w:t>
      </w:r>
      <w:r w:rsidRPr="00067B60">
        <w:t>4/BLA and n</w:t>
      </w:r>
      <w:r w:rsidRPr="00067B60">
        <w:rPr>
          <w:rFonts w:ascii="MS Gothic" w:eastAsia="MS Gothic" w:hAnsi="MS Gothic" w:cs="MS Gothic" w:hint="eastAsia"/>
        </w:rPr>
        <w:t> </w:t>
      </w:r>
      <w:r w:rsidRPr="00067B60">
        <w:t>=</w:t>
      </w:r>
      <w:r w:rsidRPr="00067B60">
        <w:rPr>
          <w:rFonts w:ascii="MS Gothic" w:eastAsia="MS Gothic" w:hAnsi="MS Gothic" w:cs="MS Gothic" w:hint="eastAsia"/>
        </w:rPr>
        <w:t> </w:t>
      </w:r>
      <w:r w:rsidRPr="00067B60">
        <w:t>5/</w:t>
      </w:r>
      <w:proofErr w:type="spellStart"/>
      <w:r w:rsidRPr="00067B60">
        <w:t>CeA</w:t>
      </w:r>
      <w:proofErr w:type="spellEnd"/>
      <w:r w:rsidRPr="00067B60">
        <w:t>), or CCI rats microinjected with saline (n</w:t>
      </w:r>
      <w:r w:rsidRPr="00067B60">
        <w:rPr>
          <w:rFonts w:ascii="MS Gothic" w:eastAsia="MS Gothic" w:hAnsi="MS Gothic" w:cs="MS Gothic" w:hint="eastAsia"/>
        </w:rPr>
        <w:t> </w:t>
      </w:r>
      <w:r w:rsidRPr="00067B60">
        <w:t>=</w:t>
      </w:r>
      <w:r w:rsidRPr="00067B60">
        <w:rPr>
          <w:rFonts w:ascii="MS Gothic" w:eastAsia="MS Gothic" w:hAnsi="MS Gothic" w:cs="MS Gothic" w:hint="eastAsia"/>
        </w:rPr>
        <w:t> </w:t>
      </w:r>
      <w:r w:rsidRPr="00067B60">
        <w:t xml:space="preserve">5 for BLA and </w:t>
      </w:r>
      <w:proofErr w:type="spellStart"/>
      <w:r w:rsidRPr="00067B60">
        <w:t>CeA</w:t>
      </w:r>
      <w:proofErr w:type="spellEnd"/>
      <w:r w:rsidRPr="00067B60">
        <w:t xml:space="preserve">) or </w:t>
      </w:r>
      <w:proofErr w:type="spellStart"/>
      <w:r w:rsidRPr="00067B60">
        <w:t>muscimol</w:t>
      </w:r>
      <w:proofErr w:type="spellEnd"/>
      <w:r w:rsidRPr="00067B60">
        <w:t xml:space="preserve"> (n</w:t>
      </w:r>
      <w:r w:rsidRPr="00067B60">
        <w:rPr>
          <w:rFonts w:ascii="MS Gothic" w:eastAsia="MS Gothic" w:hAnsi="MS Gothic" w:cs="MS Gothic" w:hint="eastAsia"/>
        </w:rPr>
        <w:t> </w:t>
      </w:r>
      <w:r w:rsidRPr="00067B60">
        <w:t>=</w:t>
      </w:r>
      <w:r w:rsidRPr="00067B60">
        <w:rPr>
          <w:rFonts w:ascii="MS Gothic" w:eastAsia="MS Gothic" w:hAnsi="MS Gothic" w:cs="MS Gothic" w:hint="eastAsia"/>
        </w:rPr>
        <w:t> </w:t>
      </w:r>
      <w:r w:rsidRPr="00067B60">
        <w:t xml:space="preserve">8 for BLA and </w:t>
      </w:r>
      <w:proofErr w:type="spellStart"/>
      <w:r w:rsidRPr="00067B60">
        <w:t>CeA</w:t>
      </w:r>
      <w:proofErr w:type="spellEnd"/>
      <w:r w:rsidRPr="00067B60">
        <w:t>).</w:t>
      </w:r>
    </w:p>
    <w:p w14:paraId="7431616C" w14:textId="77777777" w:rsidR="00067B60" w:rsidRDefault="00067B60" w:rsidP="00067B60"/>
    <w:p w14:paraId="53D82744" w14:textId="77777777" w:rsidR="00067B60" w:rsidRDefault="00067B60" w:rsidP="00067B60"/>
    <w:p w14:paraId="79747CAA" w14:textId="77777777" w:rsidR="00067B60" w:rsidRPr="00067B60" w:rsidRDefault="00067B60" w:rsidP="00067B60">
      <w:r w:rsidRPr="00067B60">
        <w:t>Assessment of the nociceptive response</w:t>
      </w:r>
    </w:p>
    <w:p w14:paraId="04DF84C4" w14:textId="77777777" w:rsidR="00067B60" w:rsidRPr="00067B60" w:rsidRDefault="00067B60" w:rsidP="00067B60">
      <w:r w:rsidRPr="00067B60">
        <w:t xml:space="preserve">Nociceptive tests were performed before any intervention (baseline measurement – M1) and on the 14th day after the surgical procedure or equivalent (M2 - CCI, sham and naive groups). Additionally, the measurements were re-evaluated after the microinjection of saline or </w:t>
      </w:r>
      <w:proofErr w:type="spellStart"/>
      <w:r w:rsidRPr="00067B60">
        <w:t>muscimol</w:t>
      </w:r>
      <w:proofErr w:type="spellEnd"/>
      <w:r w:rsidRPr="00067B60">
        <w:t xml:space="preserve"> (M3). The results were analyzed by comparing the initial and final measurements to each other. The investigators were blind to group identification.</w:t>
      </w:r>
    </w:p>
    <w:p w14:paraId="0DF50230" w14:textId="77777777" w:rsidR="00067B60" w:rsidRPr="00067B60" w:rsidRDefault="00067B60" w:rsidP="00067B60">
      <w:pPr>
        <w:rPr>
          <w:b/>
          <w:bCs/>
        </w:rPr>
      </w:pPr>
      <w:r w:rsidRPr="00067B60">
        <w:rPr>
          <w:b/>
          <w:bCs/>
        </w:rPr>
        <w:t>Evaluation of mechanical hyperalgesia</w:t>
      </w:r>
    </w:p>
    <w:p w14:paraId="0B619AA5" w14:textId="77777777" w:rsidR="00067B60" w:rsidRPr="00067B60" w:rsidRDefault="00067B60" w:rsidP="00067B60">
      <w:r w:rsidRPr="00067B60">
        <w:t>The rat paw pressure test</w:t>
      </w:r>
      <w:hyperlink r:id="rId106" w:anchor="ref-CR74" w:tooltip="Randall, L. O. &amp; Selitto, J. J. A method for measurement of analgesic activity on inflamed tissue. Arch. Int. Pharmacodyn. Ther. 111, 409–419 (1957)." w:history="1">
        <w:r w:rsidRPr="00067B60">
          <w:rPr>
            <w:rStyle w:val="a7"/>
          </w:rPr>
          <w:t>74</w:t>
        </w:r>
      </w:hyperlink>
      <w:r w:rsidRPr="00067B60">
        <w:t>, which employs the use of a pressure apparatus (Insight Ltda., SP, BRA), was used to analyze mechanical hyperalgesia. Briefly, the test consisted of the application of a force of increasing magnitude (up to 16</w:t>
      </w:r>
      <w:r w:rsidRPr="00067B60">
        <w:rPr>
          <w:rFonts w:ascii="MS Gothic" w:eastAsia="MS Gothic" w:hAnsi="MS Gothic" w:cs="MS Gothic" w:hint="eastAsia"/>
        </w:rPr>
        <w:t> </w:t>
      </w:r>
      <w:r w:rsidRPr="00067B60">
        <w:t>g/s) to the right hind paw. The force (in grams) required to induce a withdrawal response was defined as the nociceptive threshold. To reduce stress, the rats were habituated to the apparatus on the day preceding the experiment.</w:t>
      </w:r>
    </w:p>
    <w:p w14:paraId="3A76700D" w14:textId="77777777" w:rsidR="00067B60" w:rsidRPr="00067B60" w:rsidRDefault="00067B60" w:rsidP="00067B60">
      <w:pPr>
        <w:rPr>
          <w:b/>
          <w:bCs/>
        </w:rPr>
      </w:pPr>
      <w:r w:rsidRPr="00067B60">
        <w:rPr>
          <w:b/>
          <w:bCs/>
        </w:rPr>
        <w:t>Evaluation of mechanical allodynia</w:t>
      </w:r>
    </w:p>
    <w:p w14:paraId="6CB580D5" w14:textId="77777777" w:rsidR="00067B60" w:rsidRPr="00067B60" w:rsidRDefault="00067B60" w:rsidP="00067B60">
      <w:r w:rsidRPr="00067B60">
        <w:t>Mechanical allodynia was evaluated in accordance with Milligan </w:t>
      </w:r>
      <w:r w:rsidRPr="00067B60">
        <w:rPr>
          <w:i/>
          <w:iCs/>
        </w:rPr>
        <w:t>et al</w:t>
      </w:r>
      <w:r w:rsidRPr="00067B60">
        <w:t>.</w:t>
      </w:r>
      <w:hyperlink r:id="rId107" w:anchor="ref-CR75" w:tooltip="Milligan, E. D. et al. Thermal hyperalgesia and mechanical allodynia produced by intrathecal administration of the human immunodeficiency virus-1 (HIV-1) envelope glycoprotein, Gp120. Brain Res. 861, 105–116 (2000)." w:history="1">
        <w:r w:rsidRPr="00067B60">
          <w:rPr>
            <w:rStyle w:val="a7"/>
          </w:rPr>
          <w:t>75</w:t>
        </w:r>
      </w:hyperlink>
      <w:r w:rsidRPr="00067B60">
        <w:t>. The rats were placed individually in plastic cages with a wire bottom that allowed the investigator access to their paws. To reduce stress, the rats were habituated to the experimental environment on each of the 2 days preceding testing. On the day of the test, the animals were placed in the cages 15</w:t>
      </w:r>
      <w:r w:rsidRPr="00067B60">
        <w:rPr>
          <w:rFonts w:ascii="MS Gothic" w:eastAsia="MS Gothic" w:hAnsi="MS Gothic" w:cs="MS Gothic" w:hint="eastAsia"/>
        </w:rPr>
        <w:t> </w:t>
      </w:r>
      <w:r w:rsidRPr="00067B60">
        <w:t xml:space="preserve">min before the beginning of each measurement period. Briefly, mechanical allodynia was evaluated as the paw withdrawal threshold in response to mechanical stimuli defined by a series of von Frey filaments (Semmes–Weinstein monofilaments, </w:t>
      </w:r>
      <w:proofErr w:type="spellStart"/>
      <w:r w:rsidRPr="00067B60">
        <w:t>Stoelting</w:t>
      </w:r>
      <w:proofErr w:type="spellEnd"/>
      <w:r w:rsidRPr="00067B60">
        <w:t>, IL, USA) ranging from 1.08 to 21.09</w:t>
      </w:r>
      <w:r w:rsidRPr="00067B60">
        <w:rPr>
          <w:rFonts w:ascii="MS Gothic" w:eastAsia="MS Gothic" w:hAnsi="MS Gothic" w:cs="MS Gothic" w:hint="eastAsia"/>
        </w:rPr>
        <w:t> </w:t>
      </w:r>
      <w:r w:rsidRPr="00067B60">
        <w:t>g. The von Frey filaments were applied through the mesh floor to the mid-plantar surface of the right hind paw. The filaments were applied in ascending order, and the smallest filament that elicited a paw withdrawal response in two consecutive applications was considered to represent the withdrawal threshold.</w:t>
      </w:r>
    </w:p>
    <w:p w14:paraId="0A1C4A9E" w14:textId="77777777" w:rsidR="00067B60" w:rsidRPr="00067B60" w:rsidRDefault="00067B60" w:rsidP="00067B60">
      <w:r w:rsidRPr="00067B60">
        <w:t>Assessment of the affective-motivational response</w:t>
      </w:r>
    </w:p>
    <w:p w14:paraId="7A673DC7" w14:textId="77777777" w:rsidR="00067B60" w:rsidRPr="00067B60" w:rsidRDefault="00067B60" w:rsidP="00067B60">
      <w:r w:rsidRPr="00067B60">
        <w:t xml:space="preserve">Affective-motivational behaviors were evaluated in the CCI and sham animals in comparison to the animals administered saline or </w:t>
      </w:r>
      <w:proofErr w:type="spellStart"/>
      <w:r w:rsidRPr="00067B60">
        <w:t>muscimol</w:t>
      </w:r>
      <w:proofErr w:type="spellEnd"/>
      <w:r w:rsidRPr="00067B60">
        <w:t xml:space="preserve"> into the amygdaloid nuclei. The animals were microinjected and then tested in an elevated plus-maze and forced swim tests.</w:t>
      </w:r>
    </w:p>
    <w:p w14:paraId="65B9E5D7" w14:textId="77777777" w:rsidR="00067B60" w:rsidRPr="00067B60" w:rsidRDefault="00067B60" w:rsidP="00067B60">
      <w:pPr>
        <w:rPr>
          <w:b/>
          <w:bCs/>
        </w:rPr>
      </w:pPr>
      <w:r w:rsidRPr="00067B60">
        <w:rPr>
          <w:b/>
          <w:bCs/>
        </w:rPr>
        <w:t>Evaluation of anxiety-like behaviors</w:t>
      </w:r>
    </w:p>
    <w:p w14:paraId="27B34E56" w14:textId="77777777" w:rsidR="00067B60" w:rsidRPr="00067B60" w:rsidRDefault="00067B60" w:rsidP="00067B60">
      <w:r w:rsidRPr="00067B60">
        <w:t>The animals were tested in an elevated plus-maze, a classic method used to assess anxiety-like behavior</w:t>
      </w:r>
      <w:hyperlink r:id="rId108" w:anchor="ref-CR76" w:tooltip="Handley, S. L. &amp; Mithani, S. Effects of alpha-adrenoceptor agonists and antagonists in a maze-exploration model of ‘fear’-motivated behaviour. Naunyn Schmiedebergs Arch. Pharmacol. 327, 1–5 (1984)." w:history="1">
        <w:r w:rsidRPr="00067B60">
          <w:rPr>
            <w:rStyle w:val="a7"/>
          </w:rPr>
          <w:t>76</w:t>
        </w:r>
      </w:hyperlink>
      <w:r w:rsidRPr="00067B60">
        <w:t>. The maze details have previously been described in detail</w:t>
      </w:r>
      <w:hyperlink r:id="rId109" w:anchor="ref-CR77" w:tooltip="Garcia, A. M., Cardenas, F. P. &amp; Morato, S. Effect of different illumination levels on rat behavior in the elevated plus-maze. Physiol. Behav. 85, 265–270 (2005)." w:history="1">
        <w:r w:rsidRPr="00067B60">
          <w:rPr>
            <w:rStyle w:val="a7"/>
          </w:rPr>
          <w:t>77</w:t>
        </w:r>
      </w:hyperlink>
      <w:r w:rsidRPr="00067B60">
        <w:t>. Briefly, it consists of two open arms (50</w:t>
      </w:r>
      <w:r w:rsidRPr="00067B60">
        <w:rPr>
          <w:rFonts w:ascii="MS Gothic" w:eastAsia="MS Gothic" w:hAnsi="MS Gothic" w:cs="MS Gothic" w:hint="eastAsia"/>
        </w:rPr>
        <w:t> </w:t>
      </w:r>
      <w:r w:rsidRPr="00067B60">
        <w:rPr>
          <w:rFonts w:ascii="等线" w:eastAsia="等线" w:hAnsi="等线" w:cs="等线" w:hint="eastAsia"/>
        </w:rPr>
        <w:t>×</w:t>
      </w:r>
      <w:r w:rsidRPr="00067B60">
        <w:rPr>
          <w:rFonts w:ascii="MS Gothic" w:eastAsia="MS Gothic" w:hAnsi="MS Gothic" w:cs="MS Gothic" w:hint="eastAsia"/>
        </w:rPr>
        <w:t> </w:t>
      </w:r>
      <w:r w:rsidRPr="00067B60">
        <w:t>10</w:t>
      </w:r>
      <w:r w:rsidRPr="00067B60">
        <w:rPr>
          <w:rFonts w:ascii="MS Gothic" w:eastAsia="MS Gothic" w:hAnsi="MS Gothic" w:cs="MS Gothic" w:hint="eastAsia"/>
        </w:rPr>
        <w:t> </w:t>
      </w:r>
      <w:r w:rsidRPr="00067B60">
        <w:t>cm) crossed at right angles with two opposing closed arms of the same size enclosed by walls 40</w:t>
      </w:r>
      <w:r w:rsidRPr="00067B60">
        <w:rPr>
          <w:rFonts w:ascii="MS Gothic" w:eastAsia="MS Gothic" w:hAnsi="MS Gothic" w:cs="MS Gothic" w:hint="eastAsia"/>
        </w:rPr>
        <w:t> </w:t>
      </w:r>
      <w:r w:rsidRPr="00067B60">
        <w:t>cm high. The maze was elevated 50</w:t>
      </w:r>
      <w:r w:rsidRPr="00067B60">
        <w:rPr>
          <w:rFonts w:ascii="MS Gothic" w:eastAsia="MS Gothic" w:hAnsi="MS Gothic" w:cs="MS Gothic" w:hint="eastAsia"/>
        </w:rPr>
        <w:t> </w:t>
      </w:r>
      <w:r w:rsidRPr="00067B60">
        <w:t>cm above the floor, and a rim of Plexiglas (0.5</w:t>
      </w:r>
      <w:r w:rsidRPr="00067B60">
        <w:rPr>
          <w:rFonts w:ascii="MS Gothic" w:eastAsia="MS Gothic" w:hAnsi="MS Gothic" w:cs="MS Gothic" w:hint="eastAsia"/>
        </w:rPr>
        <w:t> </w:t>
      </w:r>
      <w:r w:rsidRPr="00067B60">
        <w:t xml:space="preserve">cm high) surrounded the perimeter of the open arms. For each 5-min test, each rat was gently placed in the central area with its nose facing one of the closed arms and allowed to explore the maze. Before the next rat was tested, the maze was cleaned with a 5% ethanol solution and dried with a cloth. All sessions were recorded using a video camera, and the following behaviors were blindly analyzed: (a) head dipping: dipping the head below the level of the maze floor; (b) stretching: the animal stretched to its full length using its forepaws (the hind paws were maintained in the same place) and then turned back to its previous position; (c) rearing: partial or total raising on the hind limbs; (d) </w:t>
      </w:r>
      <w:r w:rsidRPr="00067B60">
        <w:lastRenderedPageBreak/>
        <w:t>sniffing: horizontal head movements in any direction, including sniffing the maze floor and walls; and (e) grooming: species-specific behavioral sequences, including cleaning of any part of the body surface or fur with the tongue, teeth, and/or forepaws.</w:t>
      </w:r>
    </w:p>
    <w:p w14:paraId="24D0FBEE" w14:textId="77777777" w:rsidR="00067B60" w:rsidRPr="00067B60" w:rsidRDefault="00067B60" w:rsidP="00067B60">
      <w:pPr>
        <w:rPr>
          <w:b/>
          <w:bCs/>
        </w:rPr>
      </w:pPr>
      <w:r w:rsidRPr="00067B60">
        <w:rPr>
          <w:b/>
          <w:bCs/>
        </w:rPr>
        <w:t>Evaluation of depressive-like behavior</w:t>
      </w:r>
    </w:p>
    <w:p w14:paraId="005DA644" w14:textId="77777777" w:rsidR="00067B60" w:rsidRPr="00067B60" w:rsidRDefault="00067B60" w:rsidP="00067B60">
      <w:r w:rsidRPr="00067B60">
        <w:t>The forced swimming test is one of the most commonly used methods for assessing depressive-like behavior. In this test, the time spent immobile is measured</w:t>
      </w:r>
      <w:hyperlink r:id="rId110" w:anchor="ref-CR78" w:tooltip="Porsolt, R. D., Bertin, A. &amp; Jalfre, M. Behavioral despair in mice: a primary screening test for antidepressants. Arch. Int. Pharmacodyn. Ther. 229, 327–336 (1977)." w:history="1">
        <w:r w:rsidRPr="00067B60">
          <w:rPr>
            <w:rStyle w:val="a7"/>
          </w:rPr>
          <w:t>78</w:t>
        </w:r>
      </w:hyperlink>
      <w:r w:rsidRPr="00067B60">
        <w:t>. The rats were individually placed in a cylindrical tank (30</w:t>
      </w:r>
      <w:r w:rsidRPr="00067B60">
        <w:rPr>
          <w:rFonts w:ascii="MS Gothic" w:eastAsia="MS Gothic" w:hAnsi="MS Gothic" w:cs="MS Gothic" w:hint="eastAsia"/>
        </w:rPr>
        <w:t> </w:t>
      </w:r>
      <w:r w:rsidRPr="00067B60">
        <w:t>cm diameter</w:t>
      </w:r>
      <w:r w:rsidRPr="00067B60">
        <w:rPr>
          <w:rFonts w:ascii="MS Gothic" w:eastAsia="MS Gothic" w:hAnsi="MS Gothic" w:cs="MS Gothic" w:hint="eastAsia"/>
        </w:rPr>
        <w:t> </w:t>
      </w:r>
      <w:r w:rsidRPr="00067B60">
        <w:rPr>
          <w:rFonts w:ascii="等线" w:eastAsia="等线" w:hAnsi="等线" w:cs="等线" w:hint="eastAsia"/>
        </w:rPr>
        <w:t>×</w:t>
      </w:r>
      <w:r w:rsidRPr="00067B60">
        <w:rPr>
          <w:rFonts w:ascii="MS Gothic" w:eastAsia="MS Gothic" w:hAnsi="MS Gothic" w:cs="MS Gothic" w:hint="eastAsia"/>
        </w:rPr>
        <w:t> </w:t>
      </w:r>
      <w:r w:rsidRPr="00067B60">
        <w:t>60</w:t>
      </w:r>
      <w:r w:rsidRPr="00067B60">
        <w:rPr>
          <w:rFonts w:ascii="MS Gothic" w:eastAsia="MS Gothic" w:hAnsi="MS Gothic" w:cs="MS Gothic" w:hint="eastAsia"/>
        </w:rPr>
        <w:t> </w:t>
      </w:r>
      <w:r w:rsidRPr="00067B60">
        <w:t>cm height) filled with water at 24</w:t>
      </w:r>
      <w:r w:rsidRPr="00067B60">
        <w:rPr>
          <w:rFonts w:ascii="MS Gothic" w:eastAsia="MS Gothic" w:hAnsi="MS Gothic" w:cs="MS Gothic" w:hint="eastAsia"/>
        </w:rPr>
        <w:t> </w:t>
      </w:r>
      <w:r w:rsidRPr="00067B60">
        <w:rPr>
          <w:rFonts w:ascii="等线" w:eastAsia="等线" w:hAnsi="等线" w:cs="等线" w:hint="eastAsia"/>
        </w:rPr>
        <w:t>±</w:t>
      </w:r>
      <w:r w:rsidRPr="00067B60">
        <w:rPr>
          <w:rFonts w:ascii="MS Gothic" w:eastAsia="MS Gothic" w:hAnsi="MS Gothic" w:cs="MS Gothic" w:hint="eastAsia"/>
        </w:rPr>
        <w:t> </w:t>
      </w:r>
      <w:r w:rsidRPr="00067B60">
        <w:t>1</w:t>
      </w:r>
      <w:r w:rsidRPr="00067B60">
        <w:rPr>
          <w:rFonts w:ascii="MS Gothic" w:eastAsia="MS Gothic" w:hAnsi="MS Gothic" w:cs="MS Gothic" w:hint="eastAsia"/>
        </w:rPr>
        <w:t> </w:t>
      </w:r>
      <w:r w:rsidRPr="00067B60">
        <w:rPr>
          <w:rFonts w:ascii="等线" w:eastAsia="等线" w:hAnsi="等线" w:cs="等线" w:hint="eastAsia"/>
        </w:rPr>
        <w:t>°</w:t>
      </w:r>
      <w:r w:rsidRPr="00067B60">
        <w:t>C to 30</w:t>
      </w:r>
      <w:r w:rsidRPr="00067B60">
        <w:rPr>
          <w:rFonts w:ascii="MS Gothic" w:eastAsia="MS Gothic" w:hAnsi="MS Gothic" w:cs="MS Gothic" w:hint="eastAsia"/>
        </w:rPr>
        <w:t> </w:t>
      </w:r>
      <w:r w:rsidRPr="00067B60">
        <w:t>cm in depth. The protocol was divided into a 15-min pre-test performed 24</w:t>
      </w:r>
      <w:r w:rsidRPr="00067B60">
        <w:rPr>
          <w:rFonts w:ascii="MS Gothic" w:eastAsia="MS Gothic" w:hAnsi="MS Gothic" w:cs="MS Gothic" w:hint="eastAsia"/>
        </w:rPr>
        <w:t> </w:t>
      </w:r>
      <w:r w:rsidRPr="00067B60">
        <w:t>h before a 5-min test. Immobility was scored based on recordings made with a video camera, and all behaviors were blindly scored. The immobility time (in seconds - s) was determined by measuring the time during which no additional activity was observed other than the movements necessary to keep the animal</w:t>
      </w:r>
      <w:proofErr w:type="gramStart"/>
      <w:r w:rsidRPr="00067B60">
        <w:rPr>
          <w:rFonts w:ascii="等线" w:eastAsia="等线" w:hAnsi="等线" w:cs="等线" w:hint="eastAsia"/>
        </w:rPr>
        <w:t>’</w:t>
      </w:r>
      <w:proofErr w:type="gramEnd"/>
      <w:r w:rsidRPr="00067B60">
        <w:t>s head above the surface of the water.</w:t>
      </w:r>
    </w:p>
    <w:p w14:paraId="23C03926" w14:textId="77777777" w:rsidR="00067B60" w:rsidRPr="00067B60" w:rsidRDefault="00067B60" w:rsidP="00067B60">
      <w:r w:rsidRPr="00067B60">
        <w:t>Assessment of motor activity</w:t>
      </w:r>
    </w:p>
    <w:p w14:paraId="205D345C" w14:textId="77777777" w:rsidR="00067B60" w:rsidRPr="00067B60" w:rsidRDefault="00067B60" w:rsidP="00067B60">
      <w:r w:rsidRPr="00067B60">
        <w:t>Motor behavior was evaluated in open field tests</w:t>
      </w:r>
      <w:hyperlink r:id="rId111" w:anchor="ref-CR56" w:tooltip="Hall, C. S. Emotional behavior in the rat: I. Defecation and urination as measures of individual differences in emotionality. J. Comp. Psychol. 18, 385–403 (1934)." w:history="1">
        <w:r w:rsidRPr="00067B60">
          <w:rPr>
            <w:rStyle w:val="a7"/>
          </w:rPr>
          <w:t>56</w:t>
        </w:r>
      </w:hyperlink>
      <w:r w:rsidRPr="00067B60">
        <w:t>. The open field consists of a 60</w:t>
      </w:r>
      <w:r w:rsidRPr="00067B60">
        <w:rPr>
          <w:rFonts w:ascii="MS Gothic" w:eastAsia="MS Gothic" w:hAnsi="MS Gothic" w:cs="MS Gothic" w:hint="eastAsia"/>
        </w:rPr>
        <w:t> </w:t>
      </w:r>
      <w:r w:rsidRPr="00067B60">
        <w:t>cm square of dark gray Formica floor surrounded by 50</w:t>
      </w:r>
      <w:r w:rsidRPr="00067B60">
        <w:rPr>
          <w:rFonts w:ascii="MS Gothic" w:eastAsia="MS Gothic" w:hAnsi="MS Gothic" w:cs="MS Gothic" w:hint="eastAsia"/>
        </w:rPr>
        <w:t> </w:t>
      </w:r>
      <w:r w:rsidRPr="00067B60">
        <w:t>cm high walls. During the test, each animal was placed in the center of the apparatus and allowed to freely explore for 5</w:t>
      </w:r>
      <w:r w:rsidRPr="00067B60">
        <w:rPr>
          <w:rFonts w:ascii="MS Gothic" w:eastAsia="MS Gothic" w:hAnsi="MS Gothic" w:cs="MS Gothic" w:hint="eastAsia"/>
        </w:rPr>
        <w:t> </w:t>
      </w:r>
      <w:r w:rsidRPr="00067B60">
        <w:t>min, as described previously</w:t>
      </w:r>
      <w:hyperlink r:id="rId112" w:anchor="ref-CR79" w:tooltip="Avila-Martin, G. et al. Oral 2-hydroxyoleic acid inhibits reflex hypersensitivity and open-field-induced anxiety after spared nerve injury. Eur. J. Pain. 19, 111–122 (2015)." w:history="1">
        <w:r w:rsidRPr="00067B60">
          <w:rPr>
            <w:rStyle w:val="a7"/>
          </w:rPr>
          <w:t>79</w:t>
        </w:r>
      </w:hyperlink>
      <w:r w:rsidRPr="00067B60">
        <w:rPr>
          <w:vertAlign w:val="superscript"/>
        </w:rPr>
        <w:t>,</w:t>
      </w:r>
      <w:hyperlink r:id="rId113" w:anchor="ref-CR80" w:tooltip="Bahaaddini, M. et al. The role of trigeminal nucleus caudalis orexin 1 receptor in orofacial pain-induced anxiety in rat. Neuroreport. 27, 1107–1113 (2016)." w:history="1">
        <w:r w:rsidRPr="00067B60">
          <w:rPr>
            <w:rStyle w:val="a7"/>
          </w:rPr>
          <w:t>80</w:t>
        </w:r>
      </w:hyperlink>
      <w:r w:rsidRPr="00067B60">
        <w:t>. After the end of the test, the open field was cleaned with 5% ethanol and subsequently dried with a dry cloth. Displacements and the frequency and time spent stretching, rearing, grooming and sniffing were recorded by a video camera, and motor behaviors were blindly scored.</w:t>
      </w:r>
    </w:p>
    <w:p w14:paraId="5FA09120" w14:textId="5677B6CF" w:rsidR="00067B60" w:rsidRDefault="00067B60">
      <w:pPr>
        <w:widowControl/>
        <w:jc w:val="left"/>
      </w:pPr>
      <w:r>
        <w:rPr>
          <w:rFonts w:hint="eastAsia"/>
        </w:rPr>
        <w:br w:type="page"/>
      </w:r>
    </w:p>
    <w:p w14:paraId="343E9065" w14:textId="749DBD15" w:rsidR="00067B60" w:rsidRDefault="00A75605" w:rsidP="00067B60">
      <w:r>
        <w:rPr>
          <w:rFonts w:hint="eastAsia"/>
        </w:rPr>
        <w:lastRenderedPageBreak/>
        <w:t>18.</w:t>
      </w:r>
      <w:hyperlink r:id="rId114" w:anchor="Fig3" w:history="1">
        <w:r w:rsidR="002A32BE" w:rsidRPr="002A32BE">
          <w:rPr>
            <w:rStyle w:val="a7"/>
          </w:rPr>
          <w:t>Neuron-immune mechanisms contribute to pain in early stages of arthritis | Journal of Neuroinflammation | Full Text</w:t>
        </w:r>
      </w:hyperlink>
    </w:p>
    <w:p w14:paraId="3D401FC2" w14:textId="77777777" w:rsidR="002A32BE" w:rsidRDefault="002A32BE" w:rsidP="00067B60"/>
    <w:p w14:paraId="2610883E" w14:textId="77777777" w:rsidR="002A32BE" w:rsidRPr="002A32BE" w:rsidRDefault="002A32BE" w:rsidP="002A32BE">
      <w:pPr>
        <w:rPr>
          <w:b/>
          <w:bCs/>
        </w:rPr>
      </w:pPr>
      <w:r w:rsidRPr="002A32BE">
        <w:rPr>
          <w:rFonts w:hint="eastAsia"/>
          <w:b/>
          <w:bCs/>
        </w:rPr>
        <w:t>Neuron-immune mechanisms contribute to pain in early stages of arthritis</w:t>
      </w:r>
    </w:p>
    <w:p w14:paraId="3EFC261A" w14:textId="634787A4" w:rsidR="002A32BE" w:rsidRDefault="002A32BE" w:rsidP="002A32BE">
      <w:r>
        <w:rPr>
          <w:rFonts w:hint="eastAsia"/>
        </w:rPr>
        <w:t xml:space="preserve">Francisco R. Nieto, Anna K. Clark, John Grist, Gareth J. </w:t>
      </w:r>
      <w:proofErr w:type="spellStart"/>
      <w:r>
        <w:rPr>
          <w:rFonts w:hint="eastAsia"/>
        </w:rPr>
        <w:t>Hathway</w:t>
      </w:r>
      <w:proofErr w:type="spellEnd"/>
      <w:r>
        <w:rPr>
          <w:rFonts w:hint="eastAsia"/>
        </w:rPr>
        <w:t xml:space="preserve">, Victoria Chapman &amp; </w:t>
      </w:r>
      <w:proofErr w:type="spellStart"/>
      <w:r>
        <w:rPr>
          <w:rFonts w:hint="eastAsia"/>
        </w:rPr>
        <w:t>Marzia</w:t>
      </w:r>
      <w:proofErr w:type="spellEnd"/>
      <w:r>
        <w:rPr>
          <w:rFonts w:hint="eastAsia"/>
        </w:rPr>
        <w:t xml:space="preserve"> </w:t>
      </w:r>
      <w:proofErr w:type="spellStart"/>
      <w:r>
        <w:rPr>
          <w:rFonts w:hint="eastAsia"/>
        </w:rPr>
        <w:t>Malcangio</w:t>
      </w:r>
      <w:proofErr w:type="spellEnd"/>
    </w:p>
    <w:p w14:paraId="53E88A52" w14:textId="77777777" w:rsidR="002A32BE" w:rsidRDefault="002A32BE" w:rsidP="002A32BE"/>
    <w:p w14:paraId="3273943B" w14:textId="6A9865E2" w:rsidR="002A32BE" w:rsidRDefault="002A32BE" w:rsidP="002A32BE">
      <w:r>
        <w:rPr>
          <w:rFonts w:hint="eastAsia"/>
          <w:noProof/>
        </w:rPr>
        <w:drawing>
          <wp:inline distT="0" distB="0" distL="0" distR="0" wp14:anchorId="5CE2B6A4" wp14:editId="125DEBE7">
            <wp:extent cx="4565073" cy="5324809"/>
            <wp:effectExtent l="0" t="0" r="6985" b="9525"/>
            <wp:docPr id="3643834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71738" cy="5332583"/>
                    </a:xfrm>
                    <a:prstGeom prst="rect">
                      <a:avLst/>
                    </a:prstGeom>
                    <a:noFill/>
                  </pic:spPr>
                </pic:pic>
              </a:graphicData>
            </a:graphic>
          </wp:inline>
        </w:drawing>
      </w:r>
    </w:p>
    <w:p w14:paraId="3486A423" w14:textId="1A17B3F1" w:rsidR="002A32BE" w:rsidRDefault="002A32BE" w:rsidP="002A32BE">
      <w:r w:rsidRPr="002A32BE">
        <w:t xml:space="preserve">Enhanced mechanically evoked spinal nociceptive withdrawal reflexes (NWRs) in CIA rats. The plantar surface of hind paws </w:t>
      </w:r>
      <w:proofErr w:type="gramStart"/>
      <w:r w:rsidRPr="002A32BE">
        <w:t>were</w:t>
      </w:r>
      <w:proofErr w:type="gramEnd"/>
      <w:r w:rsidRPr="002A32BE">
        <w:t xml:space="preserve"> mechanically stimulated with von Frey hairs, and evoked biceps femoris (BF) EMG responses were recorded. </w:t>
      </w:r>
      <w:r w:rsidRPr="002A32BE">
        <w:rPr>
          <w:b/>
          <w:bCs/>
        </w:rPr>
        <w:t>a</w:t>
      </w:r>
      <w:r w:rsidRPr="002A32BE">
        <w:t> Representative raw EMG traces recordings BF muscle in CIA and control rats stimulated with different von Frey hairs. </w:t>
      </w:r>
      <w:r w:rsidRPr="002A32BE">
        <w:rPr>
          <w:b/>
          <w:bCs/>
        </w:rPr>
        <w:t>b</w:t>
      </w:r>
      <w:r w:rsidRPr="002A32BE">
        <w:t> Stimulus-response curve of EMG response versus mechanical stimulus intensity at different time points post CIA immunization. </w:t>
      </w:r>
      <w:r w:rsidRPr="002A32BE">
        <w:rPr>
          <w:b/>
          <w:bCs/>
        </w:rPr>
        <w:t>c</w:t>
      </w:r>
      <w:r w:rsidRPr="002A32BE">
        <w:t> AUC analysis of the time course of the overall reflex response to von Frey hairs of increasing intensity in control and CIA rats (</w:t>
      </w:r>
      <w:r w:rsidRPr="002A32BE">
        <w:rPr>
          <w:b/>
          <w:bCs/>
        </w:rPr>
        <w:t>d</w:t>
      </w:r>
      <w:r w:rsidRPr="002A32BE">
        <w:t>). Time course of the BF mechanical thresholds in control and CIA rats. Time course of CIA-associated mechanical hypersensitivity (panel </w:t>
      </w:r>
      <w:r w:rsidRPr="002A32BE">
        <w:rPr>
          <w:b/>
          <w:bCs/>
        </w:rPr>
        <w:t>e</w:t>
      </w:r>
      <w:r w:rsidRPr="002A32BE">
        <w:t> </w:t>
      </w:r>
      <w:r w:rsidRPr="002A32BE">
        <w:rPr>
          <w:i/>
          <w:iCs/>
        </w:rPr>
        <w:t>left</w:t>
      </w:r>
      <w:r w:rsidRPr="002A32BE">
        <w:t>) significantly correlated with the time course of the change in BF mechanical thresholds (panel </w:t>
      </w:r>
      <w:r w:rsidRPr="002A32BE">
        <w:rPr>
          <w:b/>
          <w:bCs/>
        </w:rPr>
        <w:t>e</w:t>
      </w:r>
      <w:r w:rsidRPr="002A32BE">
        <w:t> </w:t>
      </w:r>
      <w:r w:rsidRPr="002A32BE">
        <w:rPr>
          <w:i/>
          <w:iCs/>
        </w:rPr>
        <w:t>right</w:t>
      </w:r>
      <w:r w:rsidRPr="002A32BE">
        <w:t xml:space="preserve">). Time course of CIA-induced hind paw </w:t>
      </w:r>
      <w:r w:rsidRPr="002A32BE">
        <w:lastRenderedPageBreak/>
        <w:t>swelling (panel </w:t>
      </w:r>
      <w:r w:rsidRPr="002A32BE">
        <w:rPr>
          <w:b/>
          <w:bCs/>
        </w:rPr>
        <w:t>e</w:t>
      </w:r>
      <w:r w:rsidRPr="002A32BE">
        <w:t> </w:t>
      </w:r>
      <w:r w:rsidRPr="002A32BE">
        <w:rPr>
          <w:i/>
          <w:iCs/>
        </w:rPr>
        <w:t>left</w:t>
      </w:r>
      <w:r w:rsidRPr="002A32BE">
        <w:t>) did not correlate with the time course of the BF mechanical thresholds (panel </w:t>
      </w:r>
      <w:r w:rsidRPr="002A32BE">
        <w:rPr>
          <w:b/>
          <w:bCs/>
        </w:rPr>
        <w:t>e</w:t>
      </w:r>
      <w:r w:rsidRPr="002A32BE">
        <w:t> </w:t>
      </w:r>
      <w:r w:rsidRPr="002A32BE">
        <w:rPr>
          <w:i/>
          <w:iCs/>
        </w:rPr>
        <w:t>right</w:t>
      </w:r>
      <w:r w:rsidRPr="002A32BE">
        <w:t>). Values are the mean</w:t>
      </w:r>
      <w:r w:rsidRPr="002A32BE">
        <w:rPr>
          <w:rFonts w:ascii="MS Gothic" w:eastAsia="MS Gothic" w:hAnsi="MS Gothic" w:cs="MS Gothic" w:hint="eastAsia"/>
        </w:rPr>
        <w:t> </w:t>
      </w:r>
      <w:r w:rsidRPr="002A32BE">
        <w:rPr>
          <w:rFonts w:ascii="等线" w:eastAsia="等线" w:hAnsi="等线" w:cs="等线" w:hint="eastAsia"/>
        </w:rPr>
        <w:t>±</w:t>
      </w:r>
      <w:r w:rsidRPr="002A32BE">
        <w:rPr>
          <w:rFonts w:ascii="MS Gothic" w:eastAsia="MS Gothic" w:hAnsi="MS Gothic" w:cs="MS Gothic" w:hint="eastAsia"/>
        </w:rPr>
        <w:t> </w:t>
      </w:r>
      <w:r w:rsidRPr="002A32BE">
        <w:t>SEM of 6 (day 0), 7 (day 4), 9 (day 7) and 8 (day 13) rats per group. ***</w:t>
      </w:r>
      <w:r w:rsidRPr="002A32BE">
        <w:rPr>
          <w:i/>
          <w:iCs/>
        </w:rPr>
        <w:t>p</w:t>
      </w:r>
      <w:r w:rsidRPr="002A32BE">
        <w:rPr>
          <w:rFonts w:ascii="MS Gothic" w:eastAsia="MS Gothic" w:hAnsi="MS Gothic" w:cs="MS Gothic" w:hint="eastAsia"/>
        </w:rPr>
        <w:t> </w:t>
      </w:r>
      <w:r w:rsidRPr="002A32BE">
        <w:t>&lt;</w:t>
      </w:r>
      <w:r w:rsidRPr="002A32BE">
        <w:rPr>
          <w:rFonts w:ascii="MS Gothic" w:eastAsia="MS Gothic" w:hAnsi="MS Gothic" w:cs="MS Gothic" w:hint="eastAsia"/>
        </w:rPr>
        <w:t> </w:t>
      </w:r>
      <w:r w:rsidRPr="002A32BE">
        <w:t>0.001, **</w:t>
      </w:r>
      <w:r w:rsidRPr="002A32BE">
        <w:rPr>
          <w:i/>
          <w:iCs/>
        </w:rPr>
        <w:t>p</w:t>
      </w:r>
      <w:r w:rsidRPr="002A32BE">
        <w:rPr>
          <w:rFonts w:ascii="MS Gothic" w:eastAsia="MS Gothic" w:hAnsi="MS Gothic" w:cs="MS Gothic" w:hint="eastAsia"/>
        </w:rPr>
        <w:t> </w:t>
      </w:r>
      <w:r w:rsidRPr="002A32BE">
        <w:t>&lt;</w:t>
      </w:r>
      <w:r w:rsidRPr="002A32BE">
        <w:rPr>
          <w:rFonts w:ascii="MS Gothic" w:eastAsia="MS Gothic" w:hAnsi="MS Gothic" w:cs="MS Gothic" w:hint="eastAsia"/>
        </w:rPr>
        <w:t> </w:t>
      </w:r>
      <w:r w:rsidRPr="002A32BE">
        <w:t>0.01, *</w:t>
      </w:r>
      <w:r w:rsidRPr="002A32BE">
        <w:rPr>
          <w:i/>
          <w:iCs/>
        </w:rPr>
        <w:t>p</w:t>
      </w:r>
      <w:r w:rsidRPr="002A32BE">
        <w:rPr>
          <w:rFonts w:ascii="MS Gothic" w:eastAsia="MS Gothic" w:hAnsi="MS Gothic" w:cs="MS Gothic" w:hint="eastAsia"/>
        </w:rPr>
        <w:t> </w:t>
      </w:r>
      <w:r w:rsidRPr="002A32BE">
        <w:t>&lt;</w:t>
      </w:r>
      <w:r w:rsidRPr="002A32BE">
        <w:rPr>
          <w:rFonts w:ascii="MS Gothic" w:eastAsia="MS Gothic" w:hAnsi="MS Gothic" w:cs="MS Gothic" w:hint="eastAsia"/>
        </w:rPr>
        <w:t> </w:t>
      </w:r>
      <w:r w:rsidRPr="002A32BE">
        <w:t>0.05 versus controls, two-way RM-ANOVA, post hoc Tukey</w:t>
      </w:r>
      <w:proofErr w:type="gramStart"/>
      <w:r w:rsidRPr="002A32BE">
        <w:rPr>
          <w:rFonts w:ascii="等线" w:eastAsia="等线" w:hAnsi="等线" w:cs="等线" w:hint="eastAsia"/>
        </w:rPr>
        <w:t>’</w:t>
      </w:r>
      <w:proofErr w:type="gramEnd"/>
      <w:r w:rsidRPr="002A32BE">
        <w:t>s test. In</w:t>
      </w:r>
      <w:r w:rsidRPr="002A32BE">
        <w:rPr>
          <w:rFonts w:ascii="等线" w:eastAsia="等线" w:hAnsi="等线" w:cs="等线" w:hint="eastAsia"/>
        </w:rPr>
        <w:t> </w:t>
      </w:r>
      <w:r w:rsidRPr="002A32BE">
        <w:rPr>
          <w:b/>
          <w:bCs/>
        </w:rPr>
        <w:t>b</w:t>
      </w:r>
      <w:r w:rsidRPr="002A32BE">
        <w:t>, statistical analysis performed with AUC analysis and </w:t>
      </w:r>
      <w:r w:rsidRPr="002A32BE">
        <w:rPr>
          <w:i/>
          <w:iCs/>
        </w:rPr>
        <w:t>t</w:t>
      </w:r>
      <w:r w:rsidRPr="002A32BE">
        <w:t> test. In correlations studies in </w:t>
      </w:r>
      <w:r w:rsidRPr="002A32BE">
        <w:rPr>
          <w:b/>
          <w:bCs/>
        </w:rPr>
        <w:t>e</w:t>
      </w:r>
      <w:r w:rsidRPr="002A32BE">
        <w:t> and </w:t>
      </w:r>
      <w:r w:rsidRPr="002A32BE">
        <w:rPr>
          <w:b/>
          <w:bCs/>
        </w:rPr>
        <w:t>f</w:t>
      </w:r>
      <w:r w:rsidRPr="002A32BE">
        <w:t xml:space="preserve">, data were </w:t>
      </w:r>
      <w:proofErr w:type="spellStart"/>
      <w:r w:rsidRPr="002A32BE">
        <w:t>analysed</w:t>
      </w:r>
      <w:proofErr w:type="spellEnd"/>
      <w:r w:rsidRPr="002A32BE">
        <w:t xml:space="preserve"> with a Pearson correlation</w:t>
      </w:r>
    </w:p>
    <w:p w14:paraId="58CCCDF4" w14:textId="77777777" w:rsidR="002A32BE" w:rsidRDefault="002A32BE" w:rsidP="002A32BE"/>
    <w:p w14:paraId="5EE74BBE" w14:textId="5004479B" w:rsidR="002A32BE" w:rsidRDefault="002A32BE" w:rsidP="002A32BE">
      <w:r>
        <w:rPr>
          <w:rFonts w:hint="eastAsia"/>
          <w:noProof/>
        </w:rPr>
        <w:drawing>
          <wp:inline distT="0" distB="0" distL="0" distR="0" wp14:anchorId="022EF46A" wp14:editId="4895B08A">
            <wp:extent cx="4157010" cy="5652654"/>
            <wp:effectExtent l="0" t="0" r="0" b="5715"/>
            <wp:docPr id="12604961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161972" cy="5659402"/>
                    </a:xfrm>
                    <a:prstGeom prst="rect">
                      <a:avLst/>
                    </a:prstGeom>
                    <a:noFill/>
                  </pic:spPr>
                </pic:pic>
              </a:graphicData>
            </a:graphic>
          </wp:inline>
        </w:drawing>
      </w:r>
    </w:p>
    <w:p w14:paraId="305F3E15" w14:textId="446DF66A" w:rsidR="002A32BE" w:rsidRDefault="002A32BE" w:rsidP="002A32BE">
      <w:r w:rsidRPr="002A32BE">
        <w:t>Acute spinal blockade of P2X7 receptors (A-437089) or inhibition of cathepsin S (</w:t>
      </w:r>
      <w:proofErr w:type="spellStart"/>
      <w:r w:rsidRPr="002A32BE">
        <w:t>CatS</w:t>
      </w:r>
      <w:proofErr w:type="spellEnd"/>
      <w:r w:rsidRPr="002A32BE">
        <w:t>) (LHVS) attenuated the enhanced mechanically evoked biceps femoris (BF) EMG responses in CIA rats at day 7. Representative mechanical stimulus-EMG response curve at 60 and 30 min after spinal treatment with A-437089 (</w:t>
      </w:r>
      <w:r w:rsidRPr="002A32BE">
        <w:rPr>
          <w:b/>
          <w:bCs/>
        </w:rPr>
        <w:t>a</w:t>
      </w:r>
      <w:r w:rsidRPr="002A32BE">
        <w:t>) or LHVS (</w:t>
      </w:r>
      <w:r w:rsidRPr="002A32BE">
        <w:rPr>
          <w:b/>
          <w:bCs/>
        </w:rPr>
        <w:t>b</w:t>
      </w:r>
      <w:r w:rsidRPr="002A32BE">
        <w:t>) in CIA rats. Time courses of the effects of a single spinal dose of the A-438079 (50 </w:t>
      </w:r>
      <w:proofErr w:type="spellStart"/>
      <w:r w:rsidRPr="002A32BE">
        <w:t>μg</w:t>
      </w:r>
      <w:proofErr w:type="spellEnd"/>
      <w:r w:rsidRPr="002A32BE">
        <w:t xml:space="preserve"> per rat) or saline on the magnitude of evoked BF EMG responses (</w:t>
      </w:r>
      <w:r w:rsidRPr="002A32BE">
        <w:rPr>
          <w:b/>
          <w:bCs/>
        </w:rPr>
        <w:t>c</w:t>
      </w:r>
      <w:r w:rsidRPr="002A32BE">
        <w:t>) or BF mechanical thresholds (</w:t>
      </w:r>
      <w:r w:rsidRPr="002A32BE">
        <w:rPr>
          <w:b/>
          <w:bCs/>
        </w:rPr>
        <w:t>e</w:t>
      </w:r>
      <w:r w:rsidRPr="002A32BE">
        <w:t>) in CIA rats 7 days post CIA immunization. Time courses of the effects of a single spinal administration of LHVS (50 nmol per rat) or vehicle (20 % Cremophor EL/saline) on the magnitude of evoked BF EMG responses (</w:t>
      </w:r>
      <w:r w:rsidRPr="002A32BE">
        <w:rPr>
          <w:b/>
          <w:bCs/>
        </w:rPr>
        <w:t>d</w:t>
      </w:r>
      <w:r w:rsidRPr="002A32BE">
        <w:t>) or BF mechanical thresholds (</w:t>
      </w:r>
      <w:r w:rsidRPr="002A32BE">
        <w:rPr>
          <w:b/>
          <w:bCs/>
        </w:rPr>
        <w:t>f</w:t>
      </w:r>
      <w:r w:rsidRPr="002A32BE">
        <w:t>) in CIA rats 7 days post-immunization. Values are mean</w:t>
      </w:r>
      <w:r w:rsidRPr="002A32BE">
        <w:rPr>
          <w:rFonts w:ascii="MS Gothic" w:eastAsia="MS Gothic" w:hAnsi="MS Gothic" w:cs="MS Gothic" w:hint="eastAsia"/>
        </w:rPr>
        <w:t> </w:t>
      </w:r>
      <w:r w:rsidRPr="002A32BE">
        <w:rPr>
          <w:rFonts w:ascii="等线" w:eastAsia="等线" w:hAnsi="等线" w:cs="等线" w:hint="eastAsia"/>
        </w:rPr>
        <w:t>±</w:t>
      </w:r>
      <w:r w:rsidRPr="002A32BE">
        <w:rPr>
          <w:rFonts w:ascii="MS Gothic" w:eastAsia="MS Gothic" w:hAnsi="MS Gothic" w:cs="MS Gothic" w:hint="eastAsia"/>
        </w:rPr>
        <w:t> </w:t>
      </w:r>
      <w:r w:rsidRPr="002A32BE">
        <w:t xml:space="preserve">SEM of </w:t>
      </w:r>
      <w:r w:rsidRPr="002A32BE">
        <w:lastRenderedPageBreak/>
        <w:t>7</w:t>
      </w:r>
      <w:r w:rsidRPr="002A32BE">
        <w:rPr>
          <w:rFonts w:ascii="等线" w:eastAsia="等线" w:hAnsi="等线" w:cs="等线" w:hint="eastAsia"/>
        </w:rPr>
        <w:t>–</w:t>
      </w:r>
      <w:r w:rsidRPr="002A32BE">
        <w:t>8 rats per group. ***</w:t>
      </w:r>
      <w:r w:rsidRPr="002A32BE">
        <w:rPr>
          <w:i/>
          <w:iCs/>
        </w:rPr>
        <w:t>p</w:t>
      </w:r>
      <w:r w:rsidRPr="002A32BE">
        <w:rPr>
          <w:rFonts w:ascii="MS Gothic" w:eastAsia="MS Gothic" w:hAnsi="MS Gothic" w:cs="MS Gothic" w:hint="eastAsia"/>
        </w:rPr>
        <w:t> </w:t>
      </w:r>
      <w:r w:rsidRPr="002A32BE">
        <w:t>&lt;</w:t>
      </w:r>
      <w:r w:rsidRPr="002A32BE">
        <w:rPr>
          <w:rFonts w:ascii="MS Gothic" w:eastAsia="MS Gothic" w:hAnsi="MS Gothic" w:cs="MS Gothic" w:hint="eastAsia"/>
        </w:rPr>
        <w:t> </w:t>
      </w:r>
      <w:r w:rsidRPr="002A32BE">
        <w:t>0.001, **</w:t>
      </w:r>
      <w:r w:rsidRPr="002A32BE">
        <w:rPr>
          <w:i/>
          <w:iCs/>
        </w:rPr>
        <w:t>p</w:t>
      </w:r>
      <w:r w:rsidRPr="002A32BE">
        <w:rPr>
          <w:rFonts w:ascii="MS Gothic" w:eastAsia="MS Gothic" w:hAnsi="MS Gothic" w:cs="MS Gothic" w:hint="eastAsia"/>
        </w:rPr>
        <w:t> </w:t>
      </w:r>
      <w:r w:rsidRPr="002A32BE">
        <w:t>&lt;</w:t>
      </w:r>
      <w:r w:rsidRPr="002A32BE">
        <w:rPr>
          <w:rFonts w:ascii="MS Gothic" w:eastAsia="MS Gothic" w:hAnsi="MS Gothic" w:cs="MS Gothic" w:hint="eastAsia"/>
        </w:rPr>
        <w:t> </w:t>
      </w:r>
      <w:r w:rsidRPr="002A32BE">
        <w:t>0.01, *</w:t>
      </w:r>
      <w:r w:rsidRPr="002A32BE">
        <w:rPr>
          <w:i/>
          <w:iCs/>
        </w:rPr>
        <w:t>p</w:t>
      </w:r>
      <w:r w:rsidRPr="002A32BE">
        <w:rPr>
          <w:rFonts w:ascii="MS Gothic" w:eastAsia="MS Gothic" w:hAnsi="MS Gothic" w:cs="MS Gothic" w:hint="eastAsia"/>
        </w:rPr>
        <w:t> </w:t>
      </w:r>
      <w:r w:rsidRPr="002A32BE">
        <w:t>&lt;</w:t>
      </w:r>
      <w:r w:rsidRPr="002A32BE">
        <w:rPr>
          <w:rFonts w:ascii="MS Gothic" w:eastAsia="MS Gothic" w:hAnsi="MS Gothic" w:cs="MS Gothic" w:hint="eastAsia"/>
        </w:rPr>
        <w:t> </w:t>
      </w:r>
      <w:r w:rsidRPr="002A32BE">
        <w:t>0.05 compared to control group (two-way RM ANOVA, post hoc Tukey</w:t>
      </w:r>
      <w:proofErr w:type="gramStart"/>
      <w:r w:rsidRPr="002A32BE">
        <w:rPr>
          <w:rFonts w:ascii="等线" w:eastAsia="等线" w:hAnsi="等线" w:cs="等线" w:hint="eastAsia"/>
        </w:rPr>
        <w:t>’</w:t>
      </w:r>
      <w:proofErr w:type="gramEnd"/>
      <w:r w:rsidRPr="002A32BE">
        <w:t>s test). In</w:t>
      </w:r>
      <w:r w:rsidRPr="002A32BE">
        <w:rPr>
          <w:rFonts w:ascii="等线" w:eastAsia="等线" w:hAnsi="等线" w:cs="等线" w:hint="eastAsia"/>
        </w:rPr>
        <w:t> </w:t>
      </w:r>
      <w:r w:rsidRPr="002A32BE">
        <w:rPr>
          <w:b/>
          <w:bCs/>
        </w:rPr>
        <w:t>a</w:t>
      </w:r>
      <w:r w:rsidRPr="002A32BE">
        <w:t> and </w:t>
      </w:r>
      <w:r w:rsidRPr="002A32BE">
        <w:rPr>
          <w:b/>
          <w:bCs/>
        </w:rPr>
        <w:t>b</w:t>
      </w:r>
      <w:r w:rsidRPr="002A32BE">
        <w:t>, statistical analysis performed with AUC analysis and </w:t>
      </w:r>
      <w:r w:rsidRPr="002A32BE">
        <w:rPr>
          <w:i/>
          <w:iCs/>
        </w:rPr>
        <w:t>t</w:t>
      </w:r>
      <w:r w:rsidRPr="002A32BE">
        <w:t> test</w:t>
      </w:r>
    </w:p>
    <w:p w14:paraId="1D60864D" w14:textId="77777777" w:rsidR="002A32BE" w:rsidRDefault="002A32BE" w:rsidP="002A32BE"/>
    <w:p w14:paraId="5935D202" w14:textId="77777777" w:rsidR="002A32BE" w:rsidRDefault="002A32BE" w:rsidP="002A32BE"/>
    <w:p w14:paraId="63F17835" w14:textId="77777777" w:rsidR="002A32BE" w:rsidRPr="002A32BE" w:rsidRDefault="002A32BE" w:rsidP="002A32BE">
      <w:r w:rsidRPr="002A32BE">
        <w:t xml:space="preserve">Pain </w:t>
      </w:r>
      <w:proofErr w:type="spellStart"/>
      <w:r w:rsidRPr="002A32BE">
        <w:t>behaviour</w:t>
      </w:r>
      <w:proofErr w:type="spellEnd"/>
    </w:p>
    <w:p w14:paraId="419D6424" w14:textId="77777777" w:rsidR="002A32BE" w:rsidRPr="002A32BE" w:rsidRDefault="002A32BE" w:rsidP="002A32BE">
      <w:r w:rsidRPr="002A32BE">
        <w:t>Mechanical hypersensitivity of the hind paws was assessed as a measure of secondary hyperalgesia. Changes in hind paw mechanical withdrawal thresholds were assessed by applying a series of calibrated von Frey filaments (0.4–15.0 g, North Coast Medical) to the plantar surface of the hind paw according to the ‘up-down’ method [</w:t>
      </w:r>
      <w:hyperlink r:id="rId117" w:anchor="ref-CR11" w:tooltip="Nieto FR, Clark AK, Grist J, Chapman V, Malcangio M. Calcitonin gene-related peptide-expressing sensory neurons and spinal microglial reactivity contribute to pain states in collagen-induced arthritis. Arthritis Rheumatol. 2015;67:1668–77." w:history="1">
        <w:r w:rsidRPr="002A32BE">
          <w:rPr>
            <w:rStyle w:val="a7"/>
          </w:rPr>
          <w:t>11</w:t>
        </w:r>
      </w:hyperlink>
      <w:r w:rsidRPr="002A32BE">
        <w:t>]. On each day of testing, rats were habituated for 15 min in individual transparent plexiglass boxes with a wire mesh bottom, in a temperature-controlled room (22 °C). Calibrated von Frey filaments were applied to the plantar surface of the hind paw for 4–5 s or until the paw was withdrawn. Mechanical thresholds of the left and right paws were assessed alternately. Each test started with application of the 2-g filament. Once a withdrawal response to a von Frey hair was established, the paw was re-tested, starting with the filament below the one that produced a withdrawal, and subsequently with the remaining filaments in descending sequence until no withdrawal occurred and then ascending order until a response was observed once again. This up-down method was continued until the ‘</w:t>
      </w:r>
      <w:r w:rsidRPr="002A32BE">
        <w:rPr>
          <w:i/>
          <w:iCs/>
        </w:rPr>
        <w:t>k</w:t>
      </w:r>
      <w:r w:rsidRPr="002A32BE">
        <w:t>’ value could be calculated (between 4 and 9 applications of the von Frey hairs). From this, 50 % withdrawal thresholds were calculated.</w:t>
      </w:r>
    </w:p>
    <w:p w14:paraId="4E179F94" w14:textId="77777777" w:rsidR="002A32BE" w:rsidRPr="002A32BE" w:rsidRDefault="002A32BE" w:rsidP="002A32BE">
      <w:r w:rsidRPr="002A32BE">
        <w:t>In vivo electrophysiology</w:t>
      </w:r>
    </w:p>
    <w:p w14:paraId="7B51DD2F" w14:textId="77777777" w:rsidR="002A32BE" w:rsidRPr="002A32BE" w:rsidRDefault="002A32BE" w:rsidP="002A32BE">
      <w:r w:rsidRPr="002A32BE">
        <w:t>The experimental setup for electromyographic (EMG) recordings have been previously described [</w:t>
      </w:r>
      <w:hyperlink r:id="rId118" w:anchor="ref-CR27" w:tooltip="Hathway GJ, Koch S, Low L, Fitzgerald M. The changing balance of brainstem-spinal cord modulation of pain processing over the first weeks of rat postnatal life. J Physiol. 2009;587:2927–35." w:history="1">
        <w:r w:rsidRPr="002A32BE">
          <w:rPr>
            <w:rStyle w:val="a7"/>
          </w:rPr>
          <w:t>27</w:t>
        </w:r>
      </w:hyperlink>
      <w:r w:rsidRPr="002A32BE">
        <w:t xml:space="preserve">]. Briefly, naïve, CIA and control rats at </w:t>
      </w:r>
      <w:proofErr w:type="gramStart"/>
      <w:r w:rsidRPr="002A32BE">
        <w:t>4, 7 and 13 days</w:t>
      </w:r>
      <w:proofErr w:type="gramEnd"/>
      <w:r w:rsidRPr="002A32BE">
        <w:t xml:space="preserve"> post-immunization were anaesthetized (2.5 % isoflurane) (Abbot) in oxygen, and an endotracheal cannula was inserted for controlled ventilation with a small animal ventilator (Harvard Apparatus). Rats were placed in a stereotaxic frame (Kopf Instruments). Body temperature was maintained at 37</w:t>
      </w:r>
      <w:r w:rsidRPr="002A32BE">
        <w:rPr>
          <w:rFonts w:ascii="MS Gothic" w:eastAsia="MS Gothic" w:hAnsi="MS Gothic" w:cs="MS Gothic" w:hint="eastAsia"/>
        </w:rPr>
        <w:t> </w:t>
      </w:r>
      <w:r w:rsidRPr="002A32BE">
        <w:rPr>
          <w:rFonts w:ascii="等线" w:eastAsia="等线" w:hAnsi="等线" w:cs="等线" w:hint="eastAsia"/>
        </w:rPr>
        <w:t>±</w:t>
      </w:r>
      <w:r w:rsidRPr="002A32BE">
        <w:rPr>
          <w:rFonts w:ascii="MS Gothic" w:eastAsia="MS Gothic" w:hAnsi="MS Gothic" w:cs="MS Gothic" w:hint="eastAsia"/>
        </w:rPr>
        <w:t> </w:t>
      </w:r>
      <w:r w:rsidRPr="002A32BE">
        <w:t>0.5</w:t>
      </w:r>
      <w:r w:rsidRPr="002A32BE">
        <w:rPr>
          <w:rFonts w:ascii="等线" w:eastAsia="等线" w:hAnsi="等线" w:cs="等线" w:hint="eastAsia"/>
        </w:rPr>
        <w:t> °</w:t>
      </w:r>
      <w:r w:rsidRPr="002A32BE">
        <w:t>C via a rectal probe coupled to a homeothermic heating blanket. Bipolar concentric needle EMG electrodes (</w:t>
      </w:r>
      <w:proofErr w:type="spellStart"/>
      <w:r w:rsidRPr="002A32BE">
        <w:t>Ainsworks</w:t>
      </w:r>
      <w:proofErr w:type="spellEnd"/>
      <w:r w:rsidRPr="002A32BE">
        <w:t xml:space="preserve">) were placed through a small skin incision into the belly of the biceps femoris muscle of the right hind leg. Isoflurane </w:t>
      </w:r>
      <w:proofErr w:type="spellStart"/>
      <w:r w:rsidRPr="002A32BE">
        <w:t>anaesthesia</w:t>
      </w:r>
      <w:proofErr w:type="spellEnd"/>
      <w:r w:rsidRPr="002A32BE">
        <w:t xml:space="preserve"> was reduced to 1.5 % for 30–40 min prior to recording (at a level at which animals were moderately responsive to brushing of the cornea). The isoflurane concentration was maintained at the same level throughout the whole recording period. EMG (full-wave rectified) activity was recorded following sequential (lowest to highest) von Frey hair (15–180 g) stimulation of the plantar surface of the right foot. Raw EMG signals were conventionally amplified and displayed and fed to an analogue-to-digital converter for further analysis using a CED Micro1401 interface and Spike2 software (Cambridge Electronic Design). Each hair was applied three times, and the mean EMG response for each of the three presentations was calculated. Resting activity was subtracted from responses. Mechanical thresholds for each animal were determined as the lowest von Frey hair that produced an EMG response that was 10 % greater than the resting activity. A stimulus-response curve was plotted, and the area under the curve (AUC) was calculated to provide an overall measure of the spinal ‘reflex excitability’.</w:t>
      </w:r>
    </w:p>
    <w:p w14:paraId="0E9F4DE9" w14:textId="77777777" w:rsidR="002A32BE" w:rsidRPr="002A32BE" w:rsidRDefault="002A32BE" w:rsidP="002A32BE">
      <w:r w:rsidRPr="002A32BE">
        <w:t>In experiments studying the effects of the spinally administered drugs, a small laminectomy [</w:t>
      </w:r>
      <w:hyperlink r:id="rId119" w:anchor="ref-CR28" w:tooltip="Chapman V, Suzuki R, Dickenson AH. Electrophysiological characterization of spinal neuronal response properties in anaesthetized rats after ligation of spinal nerves L5-L6. J Physiol. 1998;507:881–94." w:history="1">
        <w:r w:rsidRPr="002A32BE">
          <w:rPr>
            <w:rStyle w:val="a7"/>
          </w:rPr>
          <w:t>28</w:t>
        </w:r>
      </w:hyperlink>
      <w:r w:rsidRPr="002A32BE">
        <w:t xml:space="preserve">] was performed to expose segments L4 and L5 of the spinal cord from CIA or control rats at day 7 post-immunization prior to insertion of the EMG electrode (see above). Following </w:t>
      </w:r>
      <w:r w:rsidRPr="002A32BE">
        <w:lastRenderedPageBreak/>
        <w:t>the laminectomy, isoflurane concentration was reduced to 1.5 % for 30–40 min prior to recording. Baseline EMG mechanical threshold and the baseline reflex excitability were established, and the effects of direct spinal administration of the P2X7 receptor antagonist A-438079 (50 </w:t>
      </w:r>
      <w:proofErr w:type="spellStart"/>
      <w:r w:rsidRPr="002A32BE">
        <w:t>μg</w:t>
      </w:r>
      <w:proofErr w:type="spellEnd"/>
      <w:r w:rsidRPr="002A32BE">
        <w:t>/25 </w:t>
      </w:r>
      <w:proofErr w:type="spellStart"/>
      <w:r w:rsidRPr="002A32BE">
        <w:t>μl</w:t>
      </w:r>
      <w:proofErr w:type="spellEnd"/>
      <w:r w:rsidRPr="002A32BE">
        <w:t xml:space="preserve">; </w:t>
      </w:r>
      <w:proofErr w:type="spellStart"/>
      <w:r w:rsidRPr="002A32BE">
        <w:t>Tocris</w:t>
      </w:r>
      <w:proofErr w:type="spellEnd"/>
      <w:r w:rsidRPr="002A32BE">
        <w:t xml:space="preserve"> Biosciences) or vehicle (saline) on mechanically evoked EMG responses (as described above) were recorded for 90 min. In a separate group of rats, </w:t>
      </w:r>
      <w:proofErr w:type="spellStart"/>
      <w:r w:rsidRPr="002A32BE">
        <w:t>morpholinurea</w:t>
      </w:r>
      <w:proofErr w:type="spellEnd"/>
      <w:r w:rsidRPr="002A32BE">
        <w:t>-leucine-</w:t>
      </w:r>
      <w:proofErr w:type="spellStart"/>
      <w:r w:rsidRPr="002A32BE">
        <w:t>homophenylalaninevinyl</w:t>
      </w:r>
      <w:proofErr w:type="spellEnd"/>
      <w:r w:rsidRPr="002A32BE">
        <w:t xml:space="preserve"> phenyl sulfone (LHVS; 50 nmol/25 </w:t>
      </w:r>
      <w:proofErr w:type="spellStart"/>
      <w:r w:rsidRPr="002A32BE">
        <w:t>μl</w:t>
      </w:r>
      <w:proofErr w:type="spellEnd"/>
      <w:r w:rsidRPr="002A32BE">
        <w:t xml:space="preserve">; </w:t>
      </w:r>
      <w:proofErr w:type="spellStart"/>
      <w:r w:rsidRPr="002A32BE">
        <w:t>NeoMPS</w:t>
      </w:r>
      <w:proofErr w:type="spellEnd"/>
      <w:r w:rsidRPr="002A32BE">
        <w:t xml:space="preserve"> Inc.), an irreversible, synthetic inhibitor of cathepsin S (</w:t>
      </w:r>
      <w:proofErr w:type="spellStart"/>
      <w:r w:rsidRPr="002A32BE">
        <w:t>CatS</w:t>
      </w:r>
      <w:proofErr w:type="spellEnd"/>
      <w:r w:rsidRPr="002A32BE">
        <w:t>) or vehicle (20 % Cremophor EL/saline, Sigma-Aldrich), were applied to the spinal cord and effects on mechanically evoked EMG responses were recorded for 90 min. Doses of A-438079 and LHVS were based on previous studies ([</w:t>
      </w:r>
      <w:hyperlink r:id="rId120" w:anchor="ref-CR29" w:tooltip="Clark AK, Staniland AA, Marchand F, Kaan TK, McMahon SB, Malcangio M. P2X7-dependent release of interleukin-1beta and nociception in the spinal cord following lipopolysaccharide. J Neurosci. 2010;30:573–82." w:history="1">
        <w:r w:rsidRPr="002A32BE">
          <w:rPr>
            <w:rStyle w:val="a7"/>
          </w:rPr>
          <w:t>29</w:t>
        </w:r>
      </w:hyperlink>
      <w:r w:rsidRPr="002A32BE">
        <w:t>, </w:t>
      </w:r>
      <w:hyperlink r:id="rId121" w:anchor="ref-CR30" w:tooltip="Clark AK, Yip PK, Grist J, Gentry C, Staniland AA, Marchand F, et al. Inhibition of spinal microglial cathepsin S for the reversal of neuropathic pain. Proc Natl Acad Sci U S A. 2007;104:10655–60." w:history="1">
        <w:r w:rsidRPr="002A32BE">
          <w:rPr>
            <w:rStyle w:val="a7"/>
          </w:rPr>
          <w:t>30</w:t>
        </w:r>
      </w:hyperlink>
      <w:r w:rsidRPr="002A32BE">
        <w:t>], respectively).</w:t>
      </w:r>
    </w:p>
    <w:p w14:paraId="5B573420" w14:textId="7E6930F2" w:rsidR="002A32BE" w:rsidRDefault="002A32BE">
      <w:pPr>
        <w:widowControl/>
        <w:jc w:val="left"/>
      </w:pPr>
      <w:r>
        <w:rPr>
          <w:rFonts w:hint="eastAsia"/>
        </w:rPr>
        <w:br w:type="page"/>
      </w:r>
    </w:p>
    <w:p w14:paraId="2487B58B" w14:textId="7F5ACB9D" w:rsidR="002A32BE" w:rsidRDefault="00A75605" w:rsidP="002A32BE">
      <w:r>
        <w:rPr>
          <w:rFonts w:hint="eastAsia"/>
        </w:rPr>
        <w:lastRenderedPageBreak/>
        <w:t>19.</w:t>
      </w:r>
      <w:hyperlink r:id="rId122" w:history="1">
        <w:r w:rsidR="00581EFD" w:rsidRPr="00581EFD">
          <w:rPr>
            <w:rStyle w:val="a7"/>
          </w:rPr>
          <w:t>Plant Natural Product Puerarin Ameliorates Depressive Behaviors and Chronic Pain in Mice with Spared Nerve Injury (SNI) | Molecular Neurobiology</w:t>
        </w:r>
      </w:hyperlink>
    </w:p>
    <w:p w14:paraId="340A8FF3" w14:textId="77777777" w:rsidR="00581EFD" w:rsidRDefault="00581EFD" w:rsidP="002A32BE"/>
    <w:p w14:paraId="1E6EA675" w14:textId="77777777" w:rsidR="00581EFD" w:rsidRPr="00581EFD" w:rsidRDefault="00581EFD" w:rsidP="00581EFD">
      <w:pPr>
        <w:rPr>
          <w:b/>
          <w:bCs/>
        </w:rPr>
      </w:pPr>
      <w:r w:rsidRPr="00581EFD">
        <w:rPr>
          <w:b/>
          <w:bCs/>
        </w:rPr>
        <w:t xml:space="preserve">Plant Natural Product </w:t>
      </w:r>
      <w:proofErr w:type="spellStart"/>
      <w:r w:rsidRPr="00581EFD">
        <w:rPr>
          <w:b/>
          <w:bCs/>
        </w:rPr>
        <w:t>Puerarin</w:t>
      </w:r>
      <w:proofErr w:type="spellEnd"/>
      <w:r w:rsidRPr="00581EFD">
        <w:rPr>
          <w:b/>
          <w:bCs/>
        </w:rPr>
        <w:t xml:space="preserve"> Ameliorates Depressive Behaviors and Chronic Pain in Mice with Spared Nerve Injury (SNI)</w:t>
      </w:r>
    </w:p>
    <w:p w14:paraId="62012D57" w14:textId="7623C317" w:rsidR="00581EFD" w:rsidRDefault="00581EFD" w:rsidP="002A32BE">
      <w:r w:rsidRPr="00581EFD">
        <w:rPr>
          <w:rFonts w:hint="eastAsia"/>
        </w:rPr>
        <w:t xml:space="preserve">Jia Zhao, Dan Luo, </w:t>
      </w:r>
      <w:proofErr w:type="spellStart"/>
      <w:r w:rsidRPr="00581EFD">
        <w:rPr>
          <w:rFonts w:hint="eastAsia"/>
        </w:rPr>
        <w:t>Zhaohui</w:t>
      </w:r>
      <w:proofErr w:type="spellEnd"/>
      <w:r w:rsidRPr="00581EFD">
        <w:rPr>
          <w:rFonts w:hint="eastAsia"/>
        </w:rPr>
        <w:t xml:space="preserve"> Liang, </w:t>
      </w:r>
      <w:proofErr w:type="spellStart"/>
      <w:r w:rsidRPr="00581EFD">
        <w:rPr>
          <w:rFonts w:hint="eastAsia"/>
        </w:rPr>
        <w:t>Lixing</w:t>
      </w:r>
      <w:proofErr w:type="spellEnd"/>
      <w:r w:rsidRPr="00581EFD">
        <w:rPr>
          <w:rFonts w:hint="eastAsia"/>
        </w:rPr>
        <w:t xml:space="preserve"> Lao &amp; </w:t>
      </w:r>
      <w:proofErr w:type="spellStart"/>
      <w:r w:rsidRPr="00581EFD">
        <w:rPr>
          <w:rFonts w:hint="eastAsia"/>
        </w:rPr>
        <w:t>Jianhui</w:t>
      </w:r>
      <w:proofErr w:type="spellEnd"/>
      <w:r w:rsidRPr="00581EFD">
        <w:rPr>
          <w:rFonts w:hint="eastAsia"/>
        </w:rPr>
        <w:t xml:space="preserve"> Rong</w:t>
      </w:r>
    </w:p>
    <w:p w14:paraId="5B4ED0D4" w14:textId="3E30DFC0" w:rsidR="00581EFD" w:rsidRDefault="00581EFD" w:rsidP="002A32BE">
      <w:r>
        <w:rPr>
          <w:rFonts w:hint="eastAsia"/>
          <w:noProof/>
        </w:rPr>
        <w:drawing>
          <wp:inline distT="0" distB="0" distL="0" distR="0" wp14:anchorId="2030F775" wp14:editId="4AB5BA5F">
            <wp:extent cx="5783407" cy="4331223"/>
            <wp:effectExtent l="0" t="0" r="8255" b="0"/>
            <wp:docPr id="124296120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811661" cy="4352383"/>
                    </a:xfrm>
                    <a:prstGeom prst="rect">
                      <a:avLst/>
                    </a:prstGeom>
                    <a:noFill/>
                  </pic:spPr>
                </pic:pic>
              </a:graphicData>
            </a:graphic>
          </wp:inline>
        </w:drawing>
      </w:r>
    </w:p>
    <w:p w14:paraId="063C7044" w14:textId="77777777" w:rsidR="00581EFD" w:rsidRPr="00581EFD" w:rsidRDefault="00581EFD" w:rsidP="00581EFD">
      <w:r w:rsidRPr="00581EFD">
        <w:t xml:space="preserve">Effects of </w:t>
      </w:r>
      <w:proofErr w:type="spellStart"/>
      <w:r w:rsidRPr="00581EFD">
        <w:t>puerarin</w:t>
      </w:r>
      <w:proofErr w:type="spellEnd"/>
      <w:r w:rsidRPr="00581EFD">
        <w:t>, citalopram, and ibuprofen on SNI-induced sensitization to mechanical stimulation. </w:t>
      </w:r>
      <w:proofErr w:type="spellStart"/>
      <w:proofErr w:type="gramStart"/>
      <w:r w:rsidRPr="00581EFD">
        <w:rPr>
          <w:b/>
          <w:bCs/>
        </w:rPr>
        <w:t>a</w:t>
      </w:r>
      <w:proofErr w:type="spellEnd"/>
      <w:proofErr w:type="gramEnd"/>
      <w:r w:rsidRPr="00581EFD">
        <w:t> Evaluation of dose dependence. As outlined in Fig. </w:t>
      </w:r>
      <w:hyperlink r:id="rId124" w:anchor="Fig1" w:history="1">
        <w:r w:rsidRPr="00581EFD">
          <w:rPr>
            <w:rStyle w:val="a7"/>
          </w:rPr>
          <w:t>1a</w:t>
        </w:r>
      </w:hyperlink>
      <w:r w:rsidRPr="00581EFD">
        <w:t xml:space="preserve">, SNI animals were treated with </w:t>
      </w:r>
      <w:proofErr w:type="spellStart"/>
      <w:r w:rsidRPr="00581EFD">
        <w:t>puerarin</w:t>
      </w:r>
      <w:proofErr w:type="spellEnd"/>
      <w:r w:rsidRPr="00581EFD">
        <w:t xml:space="preserve"> (0, 30, 60, 120 mg/kg) whereas sham animals were treated with vehicle only. Pain response was examined by mechanical stimulation to the ipsilateral and contralateral </w:t>
      </w:r>
      <w:proofErr w:type="spellStart"/>
      <w:r w:rsidRPr="00581EFD">
        <w:t>hindpaws</w:t>
      </w:r>
      <w:proofErr w:type="spellEnd"/>
      <w:r w:rsidRPr="00581EFD">
        <w:t xml:space="preserve"> with von Frey filaments on days 1, 1, 7, 12, and 17. The data (mean</w:t>
      </w:r>
      <w:r w:rsidRPr="00581EFD">
        <w:rPr>
          <w:rFonts w:ascii="MS Gothic" w:eastAsia="MS Gothic" w:hAnsi="MS Gothic" w:cs="MS Gothic" w:hint="eastAsia"/>
        </w:rPr>
        <w:t> </w:t>
      </w:r>
      <w:r w:rsidRPr="00581EFD">
        <w:rPr>
          <w:rFonts w:ascii="等线" w:eastAsia="等线" w:hAnsi="等线" w:cs="等线" w:hint="eastAsia"/>
        </w:rPr>
        <w:t>±</w:t>
      </w:r>
      <w:r w:rsidRPr="00581EFD">
        <w:rPr>
          <w:rFonts w:ascii="MS Gothic" w:eastAsia="MS Gothic" w:hAnsi="MS Gothic" w:cs="MS Gothic" w:hint="eastAsia"/>
        </w:rPr>
        <w:t> </w:t>
      </w:r>
      <w:r w:rsidRPr="00581EFD">
        <w:t>SEM,</w:t>
      </w:r>
      <w:r w:rsidRPr="00581EFD">
        <w:rPr>
          <w:rFonts w:ascii="等线" w:eastAsia="等线" w:hAnsi="等线" w:cs="等线" w:hint="eastAsia"/>
        </w:rPr>
        <w:t> </w:t>
      </w:r>
      <w:r w:rsidRPr="00581EFD">
        <w:rPr>
          <w:i/>
          <w:iCs/>
        </w:rPr>
        <w:t>n</w:t>
      </w:r>
      <w:r w:rsidRPr="00581EFD">
        <w:rPr>
          <w:rFonts w:ascii="MS Gothic" w:eastAsia="MS Gothic" w:hAnsi="MS Gothic" w:cs="MS Gothic" w:hint="eastAsia"/>
        </w:rPr>
        <w:t> </w:t>
      </w:r>
      <w:r w:rsidRPr="00581EFD">
        <w:t>=</w:t>
      </w:r>
      <w:r w:rsidRPr="00581EFD">
        <w:rPr>
          <w:rFonts w:ascii="MS Gothic" w:eastAsia="MS Gothic" w:hAnsi="MS Gothic" w:cs="MS Gothic" w:hint="eastAsia"/>
        </w:rPr>
        <w:t> </w:t>
      </w:r>
      <w:r w:rsidRPr="00581EFD">
        <w:t>6) were analyzed by one-way ANOVA followed by post hoc Dunnett</w:t>
      </w:r>
      <w:proofErr w:type="gramStart"/>
      <w:r w:rsidRPr="00581EFD">
        <w:rPr>
          <w:rFonts w:ascii="等线" w:eastAsia="等线" w:hAnsi="等线" w:cs="等线" w:hint="eastAsia"/>
        </w:rPr>
        <w:t>’</w:t>
      </w:r>
      <w:proofErr w:type="gramEnd"/>
      <w:r w:rsidRPr="00581EFD">
        <w:t>s test.</w:t>
      </w:r>
      <w:r w:rsidRPr="00581EFD">
        <w:rPr>
          <w:rFonts w:ascii="等线" w:eastAsia="等线" w:hAnsi="等线" w:cs="等线" w:hint="eastAsia"/>
        </w:rPr>
        <w:t> </w:t>
      </w:r>
      <w:r w:rsidRPr="00581EFD">
        <w:rPr>
          <w:vertAlign w:val="superscript"/>
        </w:rPr>
        <w:t>##</w:t>
      </w:r>
      <w:r w:rsidRPr="00581EFD">
        <w:t> </w:t>
      </w:r>
      <w:r w:rsidRPr="00581EFD">
        <w:rPr>
          <w:i/>
          <w:iCs/>
        </w:rPr>
        <w:t>p</w:t>
      </w:r>
      <w:r w:rsidRPr="00581EFD">
        <w:rPr>
          <w:rFonts w:ascii="MS Gothic" w:eastAsia="MS Gothic" w:hAnsi="MS Gothic" w:cs="MS Gothic" w:hint="eastAsia"/>
        </w:rPr>
        <w:t> </w:t>
      </w:r>
      <w:r w:rsidRPr="00581EFD">
        <w:t>&lt;</w:t>
      </w:r>
      <w:r w:rsidRPr="00581EFD">
        <w:rPr>
          <w:rFonts w:ascii="MS Gothic" w:eastAsia="MS Gothic" w:hAnsi="MS Gothic" w:cs="MS Gothic" w:hint="eastAsia"/>
        </w:rPr>
        <w:t> </w:t>
      </w:r>
      <w:r w:rsidRPr="00581EFD">
        <w:t>0.01;</w:t>
      </w:r>
      <w:r w:rsidRPr="00581EFD">
        <w:rPr>
          <w:rFonts w:ascii="等线" w:eastAsia="等线" w:hAnsi="等线" w:cs="等线" w:hint="eastAsia"/>
        </w:rPr>
        <w:t> </w:t>
      </w:r>
      <w:r w:rsidRPr="00581EFD">
        <w:rPr>
          <w:vertAlign w:val="superscript"/>
        </w:rPr>
        <w:t>###</w:t>
      </w:r>
      <w:r w:rsidRPr="00581EFD">
        <w:t> </w:t>
      </w:r>
      <w:r w:rsidRPr="00581EFD">
        <w:rPr>
          <w:i/>
          <w:iCs/>
        </w:rPr>
        <w:t>p</w:t>
      </w:r>
      <w:r w:rsidRPr="00581EFD">
        <w:rPr>
          <w:rFonts w:ascii="MS Gothic" w:eastAsia="MS Gothic" w:hAnsi="MS Gothic" w:cs="MS Gothic" w:hint="eastAsia"/>
        </w:rPr>
        <w:t> </w:t>
      </w:r>
      <w:r w:rsidRPr="00581EFD">
        <w:t>&lt;</w:t>
      </w:r>
      <w:r w:rsidRPr="00581EFD">
        <w:rPr>
          <w:rFonts w:ascii="MS Gothic" w:eastAsia="MS Gothic" w:hAnsi="MS Gothic" w:cs="MS Gothic" w:hint="eastAsia"/>
        </w:rPr>
        <w:t> </w:t>
      </w:r>
      <w:r w:rsidRPr="00581EFD">
        <w:t>0.001 (SNI vs Sham); *</w:t>
      </w:r>
      <w:r w:rsidRPr="00581EFD">
        <w:rPr>
          <w:i/>
          <w:iCs/>
        </w:rPr>
        <w:t>p</w:t>
      </w:r>
      <w:r w:rsidRPr="00581EFD">
        <w:rPr>
          <w:rFonts w:ascii="MS Gothic" w:eastAsia="MS Gothic" w:hAnsi="MS Gothic" w:cs="MS Gothic" w:hint="eastAsia"/>
        </w:rPr>
        <w:t> </w:t>
      </w:r>
      <w:r w:rsidRPr="00581EFD">
        <w:t>&lt;</w:t>
      </w:r>
      <w:r w:rsidRPr="00581EFD">
        <w:rPr>
          <w:rFonts w:ascii="MS Gothic" w:eastAsia="MS Gothic" w:hAnsi="MS Gothic" w:cs="MS Gothic" w:hint="eastAsia"/>
        </w:rPr>
        <w:t> </w:t>
      </w:r>
      <w:r w:rsidRPr="00581EFD">
        <w:t>0.05; **</w:t>
      </w:r>
      <w:r w:rsidRPr="00581EFD">
        <w:rPr>
          <w:i/>
          <w:iCs/>
        </w:rPr>
        <w:t>p</w:t>
      </w:r>
      <w:r w:rsidRPr="00581EFD">
        <w:rPr>
          <w:rFonts w:ascii="MS Gothic" w:eastAsia="MS Gothic" w:hAnsi="MS Gothic" w:cs="MS Gothic" w:hint="eastAsia"/>
        </w:rPr>
        <w:t> </w:t>
      </w:r>
      <w:r w:rsidRPr="00581EFD">
        <w:t>&lt;</w:t>
      </w:r>
      <w:r w:rsidRPr="00581EFD">
        <w:rPr>
          <w:rFonts w:ascii="MS Gothic" w:eastAsia="MS Gothic" w:hAnsi="MS Gothic" w:cs="MS Gothic" w:hint="eastAsia"/>
        </w:rPr>
        <w:t> </w:t>
      </w:r>
      <w:r w:rsidRPr="00581EFD">
        <w:t>0.01; ***</w:t>
      </w:r>
      <w:r w:rsidRPr="00581EFD">
        <w:rPr>
          <w:i/>
          <w:iCs/>
        </w:rPr>
        <w:t>p</w:t>
      </w:r>
      <w:r w:rsidRPr="00581EFD">
        <w:rPr>
          <w:rFonts w:ascii="MS Gothic" w:eastAsia="MS Gothic" w:hAnsi="MS Gothic" w:cs="MS Gothic" w:hint="eastAsia"/>
        </w:rPr>
        <w:t> </w:t>
      </w:r>
      <w:r w:rsidRPr="00581EFD">
        <w:t>&lt;</w:t>
      </w:r>
      <w:r w:rsidRPr="00581EFD">
        <w:rPr>
          <w:rFonts w:ascii="MS Gothic" w:eastAsia="MS Gothic" w:hAnsi="MS Gothic" w:cs="MS Gothic" w:hint="eastAsia"/>
        </w:rPr>
        <w:t> </w:t>
      </w:r>
      <w:r w:rsidRPr="00581EFD">
        <w:t>0.001 (Drug vs SNI only).</w:t>
      </w:r>
      <w:r w:rsidRPr="00581EFD">
        <w:rPr>
          <w:rFonts w:ascii="等线" w:eastAsia="等线" w:hAnsi="等线" w:cs="等线" w:hint="eastAsia"/>
        </w:rPr>
        <w:t> </w:t>
      </w:r>
      <w:r w:rsidRPr="00581EFD">
        <w:rPr>
          <w:i/>
          <w:iCs/>
        </w:rPr>
        <w:t>P30</w:t>
      </w:r>
      <w:r w:rsidRPr="00581EFD">
        <w:t> </w:t>
      </w:r>
      <w:proofErr w:type="spellStart"/>
      <w:r w:rsidRPr="00581EFD">
        <w:t>puerarin</w:t>
      </w:r>
      <w:proofErr w:type="spellEnd"/>
      <w:r w:rsidRPr="00581EFD">
        <w:t xml:space="preserve"> (30 mg/kg), </w:t>
      </w:r>
      <w:r w:rsidRPr="00581EFD">
        <w:rPr>
          <w:i/>
          <w:iCs/>
        </w:rPr>
        <w:t>P60</w:t>
      </w:r>
      <w:r w:rsidRPr="00581EFD">
        <w:t> </w:t>
      </w:r>
      <w:proofErr w:type="spellStart"/>
      <w:r w:rsidRPr="00581EFD">
        <w:t>puerarin</w:t>
      </w:r>
      <w:proofErr w:type="spellEnd"/>
      <w:r w:rsidRPr="00581EFD">
        <w:t xml:space="preserve"> (60 mg/kg), </w:t>
      </w:r>
      <w:r w:rsidRPr="00581EFD">
        <w:rPr>
          <w:i/>
          <w:iCs/>
        </w:rPr>
        <w:t>P120</w:t>
      </w:r>
      <w:r w:rsidRPr="00581EFD">
        <w:t> </w:t>
      </w:r>
      <w:proofErr w:type="spellStart"/>
      <w:r w:rsidRPr="00581EFD">
        <w:t>puerarin</w:t>
      </w:r>
      <w:proofErr w:type="spellEnd"/>
      <w:r w:rsidRPr="00581EFD">
        <w:t xml:space="preserve"> (120 mg/kg). </w:t>
      </w:r>
      <w:r w:rsidRPr="00581EFD">
        <w:rPr>
          <w:b/>
          <w:bCs/>
        </w:rPr>
        <w:t>b</w:t>
      </w:r>
      <w:r w:rsidRPr="00581EFD">
        <w:t xml:space="preserve"> Comparison of </w:t>
      </w:r>
      <w:proofErr w:type="spellStart"/>
      <w:r w:rsidRPr="00581EFD">
        <w:t>puerarin</w:t>
      </w:r>
      <w:proofErr w:type="spellEnd"/>
      <w:r w:rsidRPr="00581EFD">
        <w:t xml:space="preserve"> with citalopram and ibuprofen. As outlined in Fig. </w:t>
      </w:r>
      <w:hyperlink r:id="rId125" w:anchor="Fig1" w:history="1">
        <w:r w:rsidRPr="00581EFD">
          <w:rPr>
            <w:rStyle w:val="a7"/>
          </w:rPr>
          <w:t>1a</w:t>
        </w:r>
      </w:hyperlink>
      <w:r w:rsidRPr="00581EFD">
        <w:t xml:space="preserve">, SNI animals were treated with </w:t>
      </w:r>
      <w:proofErr w:type="spellStart"/>
      <w:r w:rsidRPr="00581EFD">
        <w:t>puerarin</w:t>
      </w:r>
      <w:proofErr w:type="spellEnd"/>
      <w:r w:rsidRPr="00581EFD">
        <w:t xml:space="preserve"> (120 mg/kg), citalopram (10 mg/kg), ibuprofen (70 mg/kg), or vehicle, whereas sham animals were treated with vehicle only. Pain response was assessed as described in Fig. </w:t>
      </w:r>
      <w:hyperlink r:id="rId126" w:anchor="Fig2" w:history="1">
        <w:r w:rsidRPr="00581EFD">
          <w:rPr>
            <w:rStyle w:val="a7"/>
          </w:rPr>
          <w:t>2a</w:t>
        </w:r>
      </w:hyperlink>
      <w:r w:rsidRPr="00581EFD">
        <w:t>. The data (mean</w:t>
      </w:r>
      <w:r w:rsidRPr="00581EFD">
        <w:rPr>
          <w:rFonts w:ascii="MS Gothic" w:eastAsia="MS Gothic" w:hAnsi="MS Gothic" w:cs="MS Gothic" w:hint="eastAsia"/>
        </w:rPr>
        <w:t> </w:t>
      </w:r>
      <w:r w:rsidRPr="00581EFD">
        <w:rPr>
          <w:rFonts w:ascii="等线" w:eastAsia="等线" w:hAnsi="等线" w:cs="等线" w:hint="eastAsia"/>
        </w:rPr>
        <w:t>±</w:t>
      </w:r>
      <w:r w:rsidRPr="00581EFD">
        <w:rPr>
          <w:rFonts w:ascii="MS Gothic" w:eastAsia="MS Gothic" w:hAnsi="MS Gothic" w:cs="MS Gothic" w:hint="eastAsia"/>
        </w:rPr>
        <w:t> </w:t>
      </w:r>
      <w:r w:rsidRPr="00581EFD">
        <w:t>SEM,</w:t>
      </w:r>
      <w:r w:rsidRPr="00581EFD">
        <w:rPr>
          <w:rFonts w:ascii="等线" w:eastAsia="等线" w:hAnsi="等线" w:cs="等线" w:hint="eastAsia"/>
        </w:rPr>
        <w:t> </w:t>
      </w:r>
      <w:r w:rsidRPr="00581EFD">
        <w:rPr>
          <w:i/>
          <w:iCs/>
        </w:rPr>
        <w:t>n</w:t>
      </w:r>
      <w:r w:rsidRPr="00581EFD">
        <w:rPr>
          <w:rFonts w:ascii="MS Gothic" w:eastAsia="MS Gothic" w:hAnsi="MS Gothic" w:cs="MS Gothic" w:hint="eastAsia"/>
        </w:rPr>
        <w:t> </w:t>
      </w:r>
      <w:r w:rsidRPr="00581EFD">
        <w:t>=</w:t>
      </w:r>
      <w:r w:rsidRPr="00581EFD">
        <w:rPr>
          <w:rFonts w:ascii="MS Gothic" w:eastAsia="MS Gothic" w:hAnsi="MS Gothic" w:cs="MS Gothic" w:hint="eastAsia"/>
        </w:rPr>
        <w:t> </w:t>
      </w:r>
      <w:r w:rsidRPr="00581EFD">
        <w:t>5) were recorded and analyzed by one-way ANOVA followed by post hoc Dunnett</w:t>
      </w:r>
      <w:proofErr w:type="gramStart"/>
      <w:r w:rsidRPr="00581EFD">
        <w:rPr>
          <w:rFonts w:ascii="等线" w:eastAsia="等线" w:hAnsi="等线" w:cs="等线" w:hint="eastAsia"/>
        </w:rPr>
        <w:t>’</w:t>
      </w:r>
      <w:proofErr w:type="gramEnd"/>
      <w:r w:rsidRPr="00581EFD">
        <w:t>s test.</w:t>
      </w:r>
      <w:r w:rsidRPr="00581EFD">
        <w:rPr>
          <w:rFonts w:ascii="等线" w:eastAsia="等线" w:hAnsi="等线" w:cs="等线" w:hint="eastAsia"/>
        </w:rPr>
        <w:t> </w:t>
      </w:r>
      <w:r w:rsidRPr="00581EFD">
        <w:rPr>
          <w:vertAlign w:val="superscript"/>
        </w:rPr>
        <w:t>#</w:t>
      </w:r>
      <w:r w:rsidRPr="00581EFD">
        <w:t> </w:t>
      </w:r>
      <w:r w:rsidRPr="00581EFD">
        <w:rPr>
          <w:i/>
          <w:iCs/>
        </w:rPr>
        <w:t>p</w:t>
      </w:r>
      <w:r w:rsidRPr="00581EFD">
        <w:rPr>
          <w:rFonts w:ascii="MS Gothic" w:eastAsia="MS Gothic" w:hAnsi="MS Gothic" w:cs="MS Gothic" w:hint="eastAsia"/>
        </w:rPr>
        <w:t> </w:t>
      </w:r>
      <w:r w:rsidRPr="00581EFD">
        <w:t>&lt;</w:t>
      </w:r>
      <w:r w:rsidRPr="00581EFD">
        <w:rPr>
          <w:rFonts w:ascii="MS Gothic" w:eastAsia="MS Gothic" w:hAnsi="MS Gothic" w:cs="MS Gothic" w:hint="eastAsia"/>
        </w:rPr>
        <w:t> </w:t>
      </w:r>
      <w:r w:rsidRPr="00581EFD">
        <w:t>0.05;</w:t>
      </w:r>
      <w:r w:rsidRPr="00581EFD">
        <w:rPr>
          <w:rFonts w:ascii="等线" w:eastAsia="等线" w:hAnsi="等线" w:cs="等线" w:hint="eastAsia"/>
        </w:rPr>
        <w:t> </w:t>
      </w:r>
      <w:r w:rsidRPr="00581EFD">
        <w:rPr>
          <w:vertAlign w:val="superscript"/>
        </w:rPr>
        <w:t>##</w:t>
      </w:r>
      <w:r w:rsidRPr="00581EFD">
        <w:t> </w:t>
      </w:r>
      <w:r w:rsidRPr="00581EFD">
        <w:rPr>
          <w:i/>
          <w:iCs/>
        </w:rPr>
        <w:t>p</w:t>
      </w:r>
      <w:r w:rsidRPr="00581EFD">
        <w:rPr>
          <w:rFonts w:ascii="MS Gothic" w:eastAsia="MS Gothic" w:hAnsi="MS Gothic" w:cs="MS Gothic" w:hint="eastAsia"/>
        </w:rPr>
        <w:t> </w:t>
      </w:r>
      <w:r w:rsidRPr="00581EFD">
        <w:t>&lt;</w:t>
      </w:r>
      <w:r w:rsidRPr="00581EFD">
        <w:rPr>
          <w:rFonts w:ascii="MS Gothic" w:eastAsia="MS Gothic" w:hAnsi="MS Gothic" w:cs="MS Gothic" w:hint="eastAsia"/>
        </w:rPr>
        <w:t> </w:t>
      </w:r>
      <w:r w:rsidRPr="00581EFD">
        <w:t>0.01 (SNI vs Sham); *</w:t>
      </w:r>
      <w:r w:rsidRPr="00581EFD">
        <w:rPr>
          <w:i/>
          <w:iCs/>
        </w:rPr>
        <w:t>p</w:t>
      </w:r>
      <w:r w:rsidRPr="00581EFD">
        <w:rPr>
          <w:rFonts w:ascii="MS Gothic" w:eastAsia="MS Gothic" w:hAnsi="MS Gothic" w:cs="MS Gothic" w:hint="eastAsia"/>
        </w:rPr>
        <w:t> </w:t>
      </w:r>
      <w:r w:rsidRPr="00581EFD">
        <w:t>&lt;</w:t>
      </w:r>
      <w:r w:rsidRPr="00581EFD">
        <w:rPr>
          <w:rFonts w:ascii="MS Gothic" w:eastAsia="MS Gothic" w:hAnsi="MS Gothic" w:cs="MS Gothic" w:hint="eastAsia"/>
        </w:rPr>
        <w:t> </w:t>
      </w:r>
      <w:r w:rsidRPr="00581EFD">
        <w:t>0.05; **</w:t>
      </w:r>
      <w:r w:rsidRPr="00581EFD">
        <w:rPr>
          <w:i/>
          <w:iCs/>
        </w:rPr>
        <w:t>p</w:t>
      </w:r>
      <w:r w:rsidRPr="00581EFD">
        <w:rPr>
          <w:rFonts w:ascii="MS Gothic" w:eastAsia="MS Gothic" w:hAnsi="MS Gothic" w:cs="MS Gothic" w:hint="eastAsia"/>
        </w:rPr>
        <w:t> </w:t>
      </w:r>
      <w:r w:rsidRPr="00581EFD">
        <w:t>&lt;</w:t>
      </w:r>
      <w:r w:rsidRPr="00581EFD">
        <w:rPr>
          <w:rFonts w:ascii="MS Gothic" w:eastAsia="MS Gothic" w:hAnsi="MS Gothic" w:cs="MS Gothic" w:hint="eastAsia"/>
        </w:rPr>
        <w:t> </w:t>
      </w:r>
      <w:r w:rsidRPr="00581EFD">
        <w:t>0.01 (Drug vs SNI only).</w:t>
      </w:r>
      <w:r w:rsidRPr="00581EFD">
        <w:rPr>
          <w:rFonts w:ascii="等线" w:eastAsia="等线" w:hAnsi="等线" w:cs="等线" w:hint="eastAsia"/>
        </w:rPr>
        <w:t> </w:t>
      </w:r>
      <w:r w:rsidRPr="00581EFD">
        <w:rPr>
          <w:b/>
          <w:bCs/>
        </w:rPr>
        <w:t>c</w:t>
      </w:r>
      <w:r w:rsidRPr="00581EFD">
        <w:t xml:space="preserve"> Evaluation of the combinations between </w:t>
      </w:r>
      <w:proofErr w:type="spellStart"/>
      <w:r w:rsidRPr="00581EFD">
        <w:t>puerarin</w:t>
      </w:r>
      <w:proofErr w:type="spellEnd"/>
      <w:r w:rsidRPr="00581EFD">
        <w:t>, citalopram, and ibuprofen. As outlined in Fig. </w:t>
      </w:r>
      <w:hyperlink r:id="rId127" w:anchor="Fig1" w:history="1">
        <w:r w:rsidRPr="00581EFD">
          <w:rPr>
            <w:rStyle w:val="a7"/>
          </w:rPr>
          <w:t>1a</w:t>
        </w:r>
      </w:hyperlink>
      <w:r w:rsidRPr="00581EFD">
        <w:t xml:space="preserve">, SNI animals were treated with </w:t>
      </w:r>
      <w:proofErr w:type="spellStart"/>
      <w:r w:rsidRPr="00581EFD">
        <w:t>puerarin</w:t>
      </w:r>
      <w:proofErr w:type="spellEnd"/>
      <w:r w:rsidRPr="00581EFD">
        <w:t xml:space="preserve"> (120 mg/kg), citalopram (10 mg/kg), ibuprofen (70 mg/kg), in combination, or </w:t>
      </w:r>
      <w:r w:rsidRPr="00581EFD">
        <w:lastRenderedPageBreak/>
        <w:t>vehicle, whereas sham animals were treated with vehicle only. Pain response was assessed as described in Fig. </w:t>
      </w:r>
      <w:hyperlink r:id="rId128" w:anchor="Fig2" w:history="1">
        <w:r w:rsidRPr="00581EFD">
          <w:rPr>
            <w:rStyle w:val="a7"/>
          </w:rPr>
          <w:t>2a</w:t>
        </w:r>
      </w:hyperlink>
      <w:r w:rsidRPr="00581EFD">
        <w:t>. The data (mean</w:t>
      </w:r>
      <w:r w:rsidRPr="00581EFD">
        <w:rPr>
          <w:rFonts w:ascii="MS Gothic" w:eastAsia="MS Gothic" w:hAnsi="MS Gothic" w:cs="MS Gothic" w:hint="eastAsia"/>
        </w:rPr>
        <w:t> </w:t>
      </w:r>
      <w:r w:rsidRPr="00581EFD">
        <w:rPr>
          <w:rFonts w:ascii="等线" w:eastAsia="等线" w:hAnsi="等线" w:cs="等线" w:hint="eastAsia"/>
        </w:rPr>
        <w:t>±</w:t>
      </w:r>
      <w:r w:rsidRPr="00581EFD">
        <w:rPr>
          <w:rFonts w:ascii="MS Gothic" w:eastAsia="MS Gothic" w:hAnsi="MS Gothic" w:cs="MS Gothic" w:hint="eastAsia"/>
        </w:rPr>
        <w:t> </w:t>
      </w:r>
      <w:r w:rsidRPr="00581EFD">
        <w:t>SEM,</w:t>
      </w:r>
      <w:r w:rsidRPr="00581EFD">
        <w:rPr>
          <w:rFonts w:ascii="等线" w:eastAsia="等线" w:hAnsi="等线" w:cs="等线" w:hint="eastAsia"/>
        </w:rPr>
        <w:t> </w:t>
      </w:r>
      <w:r w:rsidRPr="00581EFD">
        <w:rPr>
          <w:i/>
          <w:iCs/>
        </w:rPr>
        <w:t>n</w:t>
      </w:r>
      <w:r w:rsidRPr="00581EFD">
        <w:rPr>
          <w:rFonts w:ascii="MS Gothic" w:eastAsia="MS Gothic" w:hAnsi="MS Gothic" w:cs="MS Gothic" w:hint="eastAsia"/>
        </w:rPr>
        <w:t> </w:t>
      </w:r>
      <w:r w:rsidRPr="00581EFD">
        <w:t>=</w:t>
      </w:r>
      <w:r w:rsidRPr="00581EFD">
        <w:rPr>
          <w:rFonts w:ascii="MS Gothic" w:eastAsia="MS Gothic" w:hAnsi="MS Gothic" w:cs="MS Gothic" w:hint="eastAsia"/>
        </w:rPr>
        <w:t> </w:t>
      </w:r>
      <w:r w:rsidRPr="00581EFD">
        <w:t>5) were recorded and analyzed by one-way ANOVA followed by post hoc Dunnett</w:t>
      </w:r>
      <w:proofErr w:type="gramStart"/>
      <w:r w:rsidRPr="00581EFD">
        <w:rPr>
          <w:rFonts w:ascii="等线" w:eastAsia="等线" w:hAnsi="等线" w:cs="等线" w:hint="eastAsia"/>
        </w:rPr>
        <w:t>’</w:t>
      </w:r>
      <w:proofErr w:type="gramEnd"/>
      <w:r w:rsidRPr="00581EFD">
        <w:t>s test.</w:t>
      </w:r>
      <w:r w:rsidRPr="00581EFD">
        <w:rPr>
          <w:rFonts w:ascii="等线" w:eastAsia="等线" w:hAnsi="等线" w:cs="等线" w:hint="eastAsia"/>
        </w:rPr>
        <w:t> </w:t>
      </w:r>
      <w:r w:rsidRPr="00581EFD">
        <w:rPr>
          <w:vertAlign w:val="superscript"/>
        </w:rPr>
        <w:t>#</w:t>
      </w:r>
      <w:r w:rsidRPr="00581EFD">
        <w:t> </w:t>
      </w:r>
      <w:r w:rsidRPr="00581EFD">
        <w:rPr>
          <w:i/>
          <w:iCs/>
        </w:rPr>
        <w:t>p</w:t>
      </w:r>
      <w:r w:rsidRPr="00581EFD">
        <w:rPr>
          <w:rFonts w:ascii="MS Gothic" w:eastAsia="MS Gothic" w:hAnsi="MS Gothic" w:cs="MS Gothic" w:hint="eastAsia"/>
        </w:rPr>
        <w:t> </w:t>
      </w:r>
      <w:r w:rsidRPr="00581EFD">
        <w:t>&lt;</w:t>
      </w:r>
      <w:r w:rsidRPr="00581EFD">
        <w:rPr>
          <w:rFonts w:ascii="MS Gothic" w:eastAsia="MS Gothic" w:hAnsi="MS Gothic" w:cs="MS Gothic" w:hint="eastAsia"/>
        </w:rPr>
        <w:t> </w:t>
      </w:r>
      <w:r w:rsidRPr="00581EFD">
        <w:t>0.05;</w:t>
      </w:r>
      <w:r w:rsidRPr="00581EFD">
        <w:rPr>
          <w:rFonts w:ascii="等线" w:eastAsia="等线" w:hAnsi="等线" w:cs="等线" w:hint="eastAsia"/>
        </w:rPr>
        <w:t> </w:t>
      </w:r>
      <w:r w:rsidRPr="00581EFD">
        <w:rPr>
          <w:vertAlign w:val="superscript"/>
        </w:rPr>
        <w:t>##</w:t>
      </w:r>
      <w:r w:rsidRPr="00581EFD">
        <w:t> </w:t>
      </w:r>
      <w:r w:rsidRPr="00581EFD">
        <w:rPr>
          <w:i/>
          <w:iCs/>
        </w:rPr>
        <w:t>p</w:t>
      </w:r>
      <w:r w:rsidRPr="00581EFD">
        <w:rPr>
          <w:rFonts w:ascii="MS Gothic" w:eastAsia="MS Gothic" w:hAnsi="MS Gothic" w:cs="MS Gothic" w:hint="eastAsia"/>
        </w:rPr>
        <w:t> </w:t>
      </w:r>
      <w:r w:rsidRPr="00581EFD">
        <w:t>&lt;</w:t>
      </w:r>
      <w:r w:rsidRPr="00581EFD">
        <w:rPr>
          <w:rFonts w:ascii="MS Gothic" w:eastAsia="MS Gothic" w:hAnsi="MS Gothic" w:cs="MS Gothic" w:hint="eastAsia"/>
        </w:rPr>
        <w:t> </w:t>
      </w:r>
      <w:r w:rsidRPr="00581EFD">
        <w:t>0.01 (SNI vs Sham); *</w:t>
      </w:r>
      <w:r w:rsidRPr="00581EFD">
        <w:rPr>
          <w:i/>
          <w:iCs/>
        </w:rPr>
        <w:t>p</w:t>
      </w:r>
      <w:r w:rsidRPr="00581EFD">
        <w:rPr>
          <w:rFonts w:ascii="MS Gothic" w:eastAsia="MS Gothic" w:hAnsi="MS Gothic" w:cs="MS Gothic" w:hint="eastAsia"/>
        </w:rPr>
        <w:t> </w:t>
      </w:r>
      <w:r w:rsidRPr="00581EFD">
        <w:t>&lt;</w:t>
      </w:r>
      <w:r w:rsidRPr="00581EFD">
        <w:rPr>
          <w:rFonts w:ascii="MS Gothic" w:eastAsia="MS Gothic" w:hAnsi="MS Gothic" w:cs="MS Gothic" w:hint="eastAsia"/>
        </w:rPr>
        <w:t> </w:t>
      </w:r>
      <w:r w:rsidRPr="00581EFD">
        <w:t>0.05; **</w:t>
      </w:r>
      <w:r w:rsidRPr="00581EFD">
        <w:rPr>
          <w:i/>
          <w:iCs/>
        </w:rPr>
        <w:t>p</w:t>
      </w:r>
      <w:r w:rsidRPr="00581EFD">
        <w:rPr>
          <w:rFonts w:ascii="MS Gothic" w:eastAsia="MS Gothic" w:hAnsi="MS Gothic" w:cs="MS Gothic" w:hint="eastAsia"/>
        </w:rPr>
        <w:t> </w:t>
      </w:r>
      <w:r w:rsidRPr="00581EFD">
        <w:t>&lt;</w:t>
      </w:r>
      <w:r w:rsidRPr="00581EFD">
        <w:rPr>
          <w:rFonts w:ascii="MS Gothic" w:eastAsia="MS Gothic" w:hAnsi="MS Gothic" w:cs="MS Gothic" w:hint="eastAsia"/>
        </w:rPr>
        <w:t> </w:t>
      </w:r>
      <w:r w:rsidRPr="00581EFD">
        <w:t>0.01 (Drug vs SNI only).</w:t>
      </w:r>
      <w:r w:rsidRPr="00581EFD">
        <w:rPr>
          <w:rFonts w:ascii="等线" w:eastAsia="等线" w:hAnsi="等线" w:cs="等线" w:hint="eastAsia"/>
        </w:rPr>
        <w:t> </w:t>
      </w:r>
      <w:r w:rsidRPr="00581EFD">
        <w:rPr>
          <w:i/>
          <w:iCs/>
        </w:rPr>
        <w:t>P</w:t>
      </w:r>
      <w:r w:rsidRPr="00581EFD">
        <w:t> </w:t>
      </w:r>
      <w:proofErr w:type="spellStart"/>
      <w:r w:rsidRPr="00581EFD">
        <w:t>puerarin</w:t>
      </w:r>
      <w:proofErr w:type="spellEnd"/>
      <w:r w:rsidRPr="00581EFD">
        <w:t>, </w:t>
      </w:r>
      <w:r w:rsidRPr="00581EFD">
        <w:rPr>
          <w:i/>
          <w:iCs/>
        </w:rPr>
        <w:t>C</w:t>
      </w:r>
      <w:r w:rsidRPr="00581EFD">
        <w:t> citalopram, </w:t>
      </w:r>
      <w:r w:rsidRPr="00581EFD">
        <w:rPr>
          <w:i/>
          <w:iCs/>
        </w:rPr>
        <w:t>I</w:t>
      </w:r>
      <w:r w:rsidRPr="00581EFD">
        <w:t> ibuprofen</w:t>
      </w:r>
    </w:p>
    <w:p w14:paraId="154FB2AD" w14:textId="263CA2F9" w:rsidR="00581EFD" w:rsidRDefault="00581EFD" w:rsidP="00581EFD"/>
    <w:p w14:paraId="15B16A0F" w14:textId="77777777" w:rsidR="00581EFD" w:rsidRDefault="00581EFD" w:rsidP="00581EFD"/>
    <w:p w14:paraId="63D88A28" w14:textId="77777777" w:rsidR="00581EFD" w:rsidRPr="00581EFD" w:rsidRDefault="00581EFD" w:rsidP="00581EFD">
      <w:pPr>
        <w:rPr>
          <w:b/>
          <w:bCs/>
        </w:rPr>
      </w:pPr>
      <w:r w:rsidRPr="00581EFD">
        <w:rPr>
          <w:b/>
          <w:bCs/>
        </w:rPr>
        <w:t>Behavioral Test</w:t>
      </w:r>
    </w:p>
    <w:p w14:paraId="05391E1D" w14:textId="77777777" w:rsidR="00581EFD" w:rsidRPr="00581EFD" w:rsidRDefault="00581EFD" w:rsidP="00581EFD">
      <w:r w:rsidRPr="00581EFD">
        <w:t>Mice were tested for depressive-like behaviors and pain response using a battery of widely recognized methods as follows:</w:t>
      </w:r>
    </w:p>
    <w:p w14:paraId="7B45027E" w14:textId="77777777" w:rsidR="00581EFD" w:rsidRPr="00581EFD" w:rsidRDefault="00581EFD" w:rsidP="00581EFD">
      <w:pPr>
        <w:rPr>
          <w:b/>
          <w:bCs/>
        </w:rPr>
      </w:pPr>
      <w:r w:rsidRPr="00581EFD">
        <w:rPr>
          <w:b/>
          <w:bCs/>
        </w:rPr>
        <w:t>Tail Suspension Test</w:t>
      </w:r>
    </w:p>
    <w:p w14:paraId="217D9250" w14:textId="77777777" w:rsidR="00581EFD" w:rsidRPr="00581EFD" w:rsidRDefault="00581EFD" w:rsidP="00581EFD">
      <w:r w:rsidRPr="00581EFD">
        <w:t>Animals were kept in a quiet experimental room. Tail suspension test was performed as previously described [</w:t>
      </w:r>
      <w:hyperlink r:id="rId129" w:anchor="ref-CR25" w:tooltip="Gai BM, Bortolatto CF, Bruning CA, Zborowski VA, Stein AL, Zeni G, Nogueira CW (2014) Depression-related behavior and mechanical allodynia are blocked by 3-(4-fluorophenylselenyl)-2,5-diphenylselenophene in a mouse model of neuropathic pain induced by partial " w:history="1">
        <w:r w:rsidRPr="00581EFD">
          <w:rPr>
            <w:rStyle w:val="a7"/>
          </w:rPr>
          <w:t>25</w:t>
        </w:r>
      </w:hyperlink>
      <w:r w:rsidRPr="00581EFD">
        <w:t>]. In brief, each mouse was suspended by its tail and secured by adhesive tape to the suspension bar (1 cm height, 1 cm width, 60 cm length), leaving a gap of 20–25 cm between mouse nose and apparatus floor. Adhesive tape was applied to the tail at the position of 2–3 mm to the very end. A blinded observer monitored the test for 6 min and recorded the immobility time with a stopwatch. The mouse was considered immobile only when the mice hung passively and completely motionless.</w:t>
      </w:r>
    </w:p>
    <w:p w14:paraId="6962C853" w14:textId="77777777" w:rsidR="00581EFD" w:rsidRPr="00581EFD" w:rsidRDefault="00581EFD" w:rsidP="00581EFD">
      <w:pPr>
        <w:rPr>
          <w:b/>
          <w:bCs/>
        </w:rPr>
      </w:pPr>
      <w:r w:rsidRPr="00581EFD">
        <w:rPr>
          <w:b/>
          <w:bCs/>
        </w:rPr>
        <w:t>Forced Swimming Test</w:t>
      </w:r>
    </w:p>
    <w:p w14:paraId="0DABFA03" w14:textId="77777777" w:rsidR="00581EFD" w:rsidRPr="00581EFD" w:rsidRDefault="00581EFD" w:rsidP="00581EFD">
      <w:r w:rsidRPr="00581EFD">
        <w:t>The mice were forced to swim in an acrylic plastic cylinder filled with water as described [</w:t>
      </w:r>
      <w:hyperlink r:id="rId130" w:anchor="ref-CR26" w:tooltip="Dimitrov EL, Tsuda MC, Cameron HA, Usdin TB (2014) Anxiety- and depression-like behavior and impaired neurogenesis evoked by peripheral neuropathy persist following resolution of prolonged tactile hypersensitivity. J Neurosci 34:12304–12312" w:history="1">
        <w:r w:rsidRPr="00581EFD">
          <w:rPr>
            <w:rStyle w:val="a7"/>
          </w:rPr>
          <w:t>26</w:t>
        </w:r>
      </w:hyperlink>
      <w:r w:rsidRPr="00581EFD">
        <w:t>]. Briefly, mice were placed individually into plastic cylinders (height, 30 cm; diameter, 20 cm) filled with 15 cm of water, conditioned at 23</w:t>
      </w:r>
      <w:r w:rsidRPr="00581EFD">
        <w:rPr>
          <w:rFonts w:ascii="MS Gothic" w:eastAsia="MS Gothic" w:hAnsi="MS Gothic" w:cs="MS Gothic" w:hint="eastAsia"/>
        </w:rPr>
        <w:t> </w:t>
      </w:r>
      <w:r w:rsidRPr="00581EFD">
        <w:rPr>
          <w:rFonts w:ascii="等线" w:eastAsia="等线" w:hAnsi="等线" w:cs="等线" w:hint="eastAsia"/>
        </w:rPr>
        <w:t>±</w:t>
      </w:r>
      <w:r w:rsidRPr="00581EFD">
        <w:rPr>
          <w:rFonts w:ascii="MS Gothic" w:eastAsia="MS Gothic" w:hAnsi="MS Gothic" w:cs="MS Gothic" w:hint="eastAsia"/>
        </w:rPr>
        <w:t> </w:t>
      </w:r>
      <w:r w:rsidRPr="00581EFD">
        <w:t>2</w:t>
      </w:r>
      <w:r w:rsidRPr="00581EFD">
        <w:rPr>
          <w:rFonts w:ascii="等线" w:eastAsia="等线" w:hAnsi="等线" w:cs="等线" w:hint="eastAsia"/>
        </w:rPr>
        <w:t> °</w:t>
      </w:r>
      <w:r w:rsidRPr="00581EFD">
        <w:t>C. After 2-min habituation for mice, a blinded observer recorded the time when the mice remained floating passively or immobile in the water for a period of 4</w:t>
      </w:r>
      <w:r w:rsidRPr="00581EFD">
        <w:rPr>
          <w:rFonts w:ascii="等线" w:eastAsia="等线" w:hAnsi="等线" w:cs="等线" w:hint="eastAsia"/>
        </w:rPr>
        <w:t> </w:t>
      </w:r>
      <w:r w:rsidRPr="00581EFD">
        <w:t>min.</w:t>
      </w:r>
    </w:p>
    <w:p w14:paraId="19A3011C" w14:textId="77777777" w:rsidR="00581EFD" w:rsidRPr="00581EFD" w:rsidRDefault="00581EFD" w:rsidP="00581EFD">
      <w:pPr>
        <w:rPr>
          <w:b/>
          <w:bCs/>
        </w:rPr>
      </w:pPr>
      <w:r w:rsidRPr="00581EFD">
        <w:rPr>
          <w:b/>
          <w:bCs/>
        </w:rPr>
        <w:t>Von Frey Monofilament Assay</w:t>
      </w:r>
    </w:p>
    <w:p w14:paraId="1D6E559B" w14:textId="77777777" w:rsidR="00581EFD" w:rsidRPr="00581EFD" w:rsidRDefault="00581EFD" w:rsidP="00581EFD">
      <w:r w:rsidRPr="00581EFD">
        <w:t>Von Frey monofilament test was performed as previously described [</w:t>
      </w:r>
      <w:hyperlink r:id="rId131" w:anchor="ref-CR27" w:tooltip="Wang J, Goffer Y, Xu D, Tukey DS, Shamir DB, Eberle SE, Zou AH, Blanck TJ et al (2011) A single subanesthetic dose of ketamine relieves depression-like behaviors induced by neuropathic pain in rats. Anesthesiology 115:812–821" w:history="1">
        <w:r w:rsidRPr="00581EFD">
          <w:rPr>
            <w:rStyle w:val="a7"/>
          </w:rPr>
          <w:t>27</w:t>
        </w:r>
      </w:hyperlink>
      <w:r w:rsidRPr="00581EFD">
        <w:t>]. In brief, mice were individually placed in red plastic chambers and habituated for 15 min prior to the test. Von Frey filaments were used to stimulate the lateral third of left paws of animals initially with the 1.0 g filament but subsequently with logarithmically incremental stiffness from 0.008 to 8.0 g 1 day before the surgery or on day 1, 7, 12, and 17 after the surgery. Positive response was defined by sudden paw withdrawal, sudden flinching, and sudden paw licking. Response in three out of five stimuli was regarded as a positive reaction and the threshold level was recorded.</w:t>
      </w:r>
    </w:p>
    <w:p w14:paraId="2CD6EB42" w14:textId="77777777" w:rsidR="00581EFD" w:rsidRPr="00581EFD" w:rsidRDefault="00581EFD" w:rsidP="00581EFD">
      <w:pPr>
        <w:rPr>
          <w:b/>
          <w:bCs/>
        </w:rPr>
      </w:pPr>
      <w:r w:rsidRPr="00581EFD">
        <w:rPr>
          <w:b/>
          <w:bCs/>
        </w:rPr>
        <w:t>Western Blot Analysis</w:t>
      </w:r>
    </w:p>
    <w:p w14:paraId="4C0C158C" w14:textId="77777777" w:rsidR="00581EFD" w:rsidRPr="00581EFD" w:rsidRDefault="00581EFD" w:rsidP="00581EFD">
      <w:r w:rsidRPr="00581EFD">
        <w:t>At the end of drug treatment, the olfactory bulbs were removed, whereas the first 5 mm of the entire cortex was recovered as mouse forebrain cortex for further analyses. The cortex tissues were sliced into small pieces and then lysed in ice-cold RIPA buffer containing 150 mM NaCl, 1.0 % IGEPAL® CA-630, 0.5 % sodium deoxycholate, 0.1 % SDS, and 50 mM Tris, (pH 8.0) with sonication. The proteins were recovered by centrifugation at 13,000 rpm for 15 min at 4 °C. The protein concentrations were determined with protein assay dye reagent from Bio-Rad (Hercules, CA, USA). The brain proteins (70 </w:t>
      </w:r>
      <w:proofErr w:type="spellStart"/>
      <w:r w:rsidRPr="00581EFD">
        <w:t>μg</w:t>
      </w:r>
      <w:proofErr w:type="spellEnd"/>
      <w:r w:rsidRPr="00581EFD">
        <w:t xml:space="preserve">) were resolved by gel electrophoresis on 12 % SDS-polyacrylamide gels and subsequently transferred onto PVDF membranes. Following overnight blocking with 5 % BSA in Tris-buffered saline containing 0.1 % Tween-20 (TBS-T) buffer at 4 °C, the blots were probed with specific primary antibodies, detected with HRP-conjugated secondary antibody, and finally visualized with </w:t>
      </w:r>
      <w:proofErr w:type="spellStart"/>
      <w:r w:rsidRPr="00581EFD">
        <w:t>Amersham</w:t>
      </w:r>
      <w:proofErr w:type="spellEnd"/>
      <w:r w:rsidRPr="00581EFD">
        <w:t xml:space="preserve">™ ECL™ Select </w:t>
      </w:r>
      <w:r w:rsidRPr="00581EFD">
        <w:lastRenderedPageBreak/>
        <w:t>Western blotting detection reagent from GE Healthcare Biosciences (Uppsala, Sweden).</w:t>
      </w:r>
    </w:p>
    <w:p w14:paraId="44BBCFDE" w14:textId="1BC8D105" w:rsidR="00581EFD" w:rsidRDefault="00581EFD">
      <w:pPr>
        <w:widowControl/>
        <w:jc w:val="left"/>
      </w:pPr>
      <w:r>
        <w:rPr>
          <w:rFonts w:hint="eastAsia"/>
        </w:rPr>
        <w:br w:type="page"/>
      </w:r>
    </w:p>
    <w:p w14:paraId="5769451C" w14:textId="6964D12B" w:rsidR="0014053A" w:rsidRDefault="00A75605" w:rsidP="0014053A">
      <w:r>
        <w:rPr>
          <w:rFonts w:hint="eastAsia"/>
        </w:rPr>
        <w:lastRenderedPageBreak/>
        <w:t>20.</w:t>
      </w:r>
      <w:hyperlink r:id="rId132" w:history="1">
        <w:r w:rsidR="00824538" w:rsidRPr="00824538">
          <w:rPr>
            <w:rStyle w:val="a7"/>
          </w:rPr>
          <w:t>Analgesic Effect of Harpagophytum procumbens on Postoperative and Neuropathic Pain in Rats</w:t>
        </w:r>
      </w:hyperlink>
    </w:p>
    <w:p w14:paraId="4462EBE6" w14:textId="77777777" w:rsidR="00824538" w:rsidRDefault="00824538" w:rsidP="0014053A"/>
    <w:p w14:paraId="1762E9D4" w14:textId="77777777" w:rsidR="00824538" w:rsidRPr="00824538" w:rsidRDefault="00824538" w:rsidP="00824538">
      <w:pPr>
        <w:rPr>
          <w:b/>
          <w:bCs/>
        </w:rPr>
      </w:pPr>
      <w:r w:rsidRPr="00824538">
        <w:rPr>
          <w:b/>
          <w:bCs/>
        </w:rPr>
        <w:t>Analgesic Effect of </w:t>
      </w:r>
      <w:proofErr w:type="spellStart"/>
      <w:r w:rsidRPr="00824538">
        <w:rPr>
          <w:b/>
          <w:bCs/>
          <w:i/>
          <w:iCs/>
        </w:rPr>
        <w:t>Harpagophytum</w:t>
      </w:r>
      <w:proofErr w:type="spellEnd"/>
      <w:r w:rsidRPr="00824538">
        <w:rPr>
          <w:b/>
          <w:bCs/>
          <w:i/>
          <w:iCs/>
        </w:rPr>
        <w:t> procumbens</w:t>
      </w:r>
      <w:r w:rsidRPr="00824538">
        <w:rPr>
          <w:b/>
          <w:bCs/>
        </w:rPr>
        <w:t> on Postoperative and Neuropathic Pain in Rats</w:t>
      </w:r>
    </w:p>
    <w:p w14:paraId="11534F28" w14:textId="730A23A9" w:rsidR="00824538" w:rsidRDefault="00824538" w:rsidP="0014053A">
      <w:r w:rsidRPr="00824538">
        <w:rPr>
          <w:rFonts w:hint="eastAsia"/>
        </w:rPr>
        <w:t xml:space="preserve">Dong </w:t>
      </w:r>
      <w:proofErr w:type="spellStart"/>
      <w:r w:rsidRPr="00824538">
        <w:rPr>
          <w:rFonts w:hint="eastAsia"/>
        </w:rPr>
        <w:t>Wook</w:t>
      </w:r>
      <w:proofErr w:type="spellEnd"/>
      <w:r w:rsidRPr="00824538">
        <w:rPr>
          <w:rFonts w:hint="eastAsia"/>
        </w:rPr>
        <w:t xml:space="preserve"> Lim †,Jae Goo Kim †,</w:t>
      </w:r>
      <w:proofErr w:type="spellStart"/>
      <w:r w:rsidRPr="00824538">
        <w:rPr>
          <w:rFonts w:hint="eastAsia"/>
        </w:rPr>
        <w:t>Daeseok</w:t>
      </w:r>
      <w:proofErr w:type="spellEnd"/>
      <w:r w:rsidRPr="00824538">
        <w:rPr>
          <w:rFonts w:hint="eastAsia"/>
        </w:rPr>
        <w:t xml:space="preserve"> Han </w:t>
      </w:r>
      <w:proofErr w:type="spellStart"/>
      <w:r w:rsidRPr="00824538">
        <w:rPr>
          <w:rFonts w:hint="eastAsia"/>
        </w:rPr>
        <w:t>andYun</w:t>
      </w:r>
      <w:proofErr w:type="spellEnd"/>
      <w:r w:rsidRPr="00824538">
        <w:rPr>
          <w:rFonts w:hint="eastAsia"/>
        </w:rPr>
        <w:t xml:space="preserve"> Tai Kim</w:t>
      </w:r>
    </w:p>
    <w:p w14:paraId="10266FAF" w14:textId="77777777" w:rsidR="00824538" w:rsidRDefault="00824538" w:rsidP="0014053A"/>
    <w:p w14:paraId="21AE7FCC" w14:textId="08B23A80" w:rsidR="00824538" w:rsidRDefault="00824538" w:rsidP="0014053A"/>
    <w:p w14:paraId="3582BF35" w14:textId="77777777" w:rsidR="00824538" w:rsidRDefault="00824538" w:rsidP="0014053A"/>
    <w:p w14:paraId="12938A18" w14:textId="77777777" w:rsidR="00824538" w:rsidRDefault="00824538" w:rsidP="0014053A"/>
    <w:p w14:paraId="1C9C71EC" w14:textId="6C85E21E" w:rsidR="00C87175" w:rsidRDefault="00C87175" w:rsidP="0014053A">
      <w:r>
        <w:rPr>
          <w:rFonts w:hint="eastAsia"/>
          <w:noProof/>
        </w:rPr>
        <w:drawing>
          <wp:inline distT="0" distB="0" distL="0" distR="0" wp14:anchorId="0CB59ECE" wp14:editId="335C0704">
            <wp:extent cx="5238750" cy="2838450"/>
            <wp:effectExtent l="0" t="0" r="0" b="0"/>
            <wp:docPr id="10769124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238750" cy="2838450"/>
                    </a:xfrm>
                    <a:prstGeom prst="rect">
                      <a:avLst/>
                    </a:prstGeom>
                    <a:noFill/>
                  </pic:spPr>
                </pic:pic>
              </a:graphicData>
            </a:graphic>
          </wp:inline>
        </w:drawing>
      </w:r>
    </w:p>
    <w:p w14:paraId="0A8FE5AE" w14:textId="525B16ED" w:rsidR="00C87175" w:rsidRDefault="00C87175" w:rsidP="0014053A">
      <w:r w:rsidRPr="00C87175">
        <w:t> Effect of </w:t>
      </w:r>
      <w:r w:rsidRPr="00C87175">
        <w:rPr>
          <w:i/>
          <w:iCs/>
        </w:rPr>
        <w:t>H. procumbens</w:t>
      </w:r>
      <w:r w:rsidRPr="00C87175">
        <w:t> extracts on mechanical hyperalgesia induced by plantar incision in rats. Baseline assessment of animals, before surgery (day 0), showed no significant variation between groups. 6 h or 24 h after surgery, rats treated with </w:t>
      </w:r>
      <w:r w:rsidRPr="00C87175">
        <w:rPr>
          <w:i/>
          <w:iCs/>
        </w:rPr>
        <w:t>H. procumbens</w:t>
      </w:r>
      <w:r w:rsidRPr="00C87175">
        <w:t> extracts significantly attenuated hyperalgesia in response to von Frey stimulation of injured hind paw. Data are mean ± SEM (n = 6 per group). * </w:t>
      </w:r>
      <w:r w:rsidRPr="00C87175">
        <w:rPr>
          <w:i/>
          <w:iCs/>
        </w:rPr>
        <w:t>p</w:t>
      </w:r>
      <w:r w:rsidRPr="00C87175">
        <w:t> &lt; 0.05, significant difference from the control group.</w:t>
      </w:r>
    </w:p>
    <w:p w14:paraId="1DAC9597" w14:textId="61EE253D" w:rsidR="00C87175" w:rsidRDefault="00C87175" w:rsidP="0014053A">
      <w:r>
        <w:rPr>
          <w:rFonts w:hint="eastAsia"/>
          <w:noProof/>
        </w:rPr>
        <w:drawing>
          <wp:inline distT="0" distB="0" distL="0" distR="0" wp14:anchorId="33C3B7A3" wp14:editId="6F3965F5">
            <wp:extent cx="4453890" cy="2036618"/>
            <wp:effectExtent l="0" t="0" r="3810" b="1905"/>
            <wp:docPr id="12840401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04405" cy="2059717"/>
                    </a:xfrm>
                    <a:prstGeom prst="rect">
                      <a:avLst/>
                    </a:prstGeom>
                    <a:noFill/>
                  </pic:spPr>
                </pic:pic>
              </a:graphicData>
            </a:graphic>
          </wp:inline>
        </w:drawing>
      </w:r>
    </w:p>
    <w:p w14:paraId="67356185" w14:textId="24B956FB" w:rsidR="00C87175" w:rsidRDefault="00C87175" w:rsidP="0014053A">
      <w:r w:rsidRPr="00C87175">
        <w:t>Anti-allodynic effects of </w:t>
      </w:r>
      <w:r w:rsidRPr="00C87175">
        <w:rPr>
          <w:i/>
          <w:iCs/>
        </w:rPr>
        <w:t>H. procumbens</w:t>
      </w:r>
      <w:r w:rsidRPr="00C87175">
        <w:t> extracts treatment in SNI rat model of neuropathic pain. Administration of </w:t>
      </w:r>
      <w:r w:rsidRPr="00C87175">
        <w:rPr>
          <w:i/>
          <w:iCs/>
        </w:rPr>
        <w:t>H. procumbens</w:t>
      </w:r>
      <w:r w:rsidRPr="00C87175">
        <w:t xml:space="preserve"> extracts (300 mg/kg, </w:t>
      </w:r>
      <w:proofErr w:type="spellStart"/>
      <w:r w:rsidRPr="00C87175">
        <w:t>p.o</w:t>
      </w:r>
      <w:proofErr w:type="spellEnd"/>
      <w:r w:rsidRPr="00C87175">
        <w:t xml:space="preserve">) significantly attenuated </w:t>
      </w:r>
      <w:r w:rsidRPr="00C87175">
        <w:lastRenderedPageBreak/>
        <w:t>allodynia in response to von Frey stimulation of hind paw from 3 to 21 day after treatment. Data are mean ± SEM (n = 6 per group). </w:t>
      </w:r>
      <w:r w:rsidRPr="00C87175">
        <w:rPr>
          <w:b/>
          <w:bCs/>
        </w:rPr>
        <w:t>***</w:t>
      </w:r>
      <w:r w:rsidRPr="00C87175">
        <w:t> </w:t>
      </w:r>
      <w:r w:rsidRPr="00C87175">
        <w:rPr>
          <w:i/>
          <w:iCs/>
        </w:rPr>
        <w:t>p</w:t>
      </w:r>
      <w:r w:rsidRPr="00C87175">
        <w:t> &lt; 0.001, </w:t>
      </w:r>
      <w:r w:rsidRPr="00C87175">
        <w:rPr>
          <w:b/>
          <w:bCs/>
        </w:rPr>
        <w:t>**</w:t>
      </w:r>
      <w:r w:rsidRPr="00C87175">
        <w:t> </w:t>
      </w:r>
      <w:r w:rsidRPr="00C87175">
        <w:rPr>
          <w:i/>
          <w:iCs/>
        </w:rPr>
        <w:t>p</w:t>
      </w:r>
      <w:r w:rsidRPr="00C87175">
        <w:t> &lt; 0.01, and </w:t>
      </w:r>
      <w:r w:rsidRPr="00C87175">
        <w:rPr>
          <w:b/>
          <w:bCs/>
        </w:rPr>
        <w:t>*</w:t>
      </w:r>
      <w:r w:rsidRPr="00C87175">
        <w:t> </w:t>
      </w:r>
      <w:r w:rsidRPr="00C87175">
        <w:rPr>
          <w:i/>
          <w:iCs/>
        </w:rPr>
        <w:t>p</w:t>
      </w:r>
      <w:r w:rsidRPr="00C87175">
        <w:t> &lt; 0.05 significant difference from control group.</w:t>
      </w:r>
    </w:p>
    <w:p w14:paraId="7A9D3DC4" w14:textId="77777777" w:rsidR="00C87175" w:rsidRDefault="00C87175" w:rsidP="0014053A"/>
    <w:p w14:paraId="02F21AC5" w14:textId="77777777" w:rsidR="00C87175" w:rsidRPr="00C87175" w:rsidRDefault="00C87175" w:rsidP="00C87175">
      <w:pPr>
        <w:rPr>
          <w:i/>
          <w:iCs/>
        </w:rPr>
      </w:pPr>
      <w:r w:rsidRPr="00C87175">
        <w:rPr>
          <w:i/>
          <w:iCs/>
        </w:rPr>
        <w:t>Plantar Incision of Postoperative Pain Rat Model</w:t>
      </w:r>
    </w:p>
    <w:p w14:paraId="1CF9B83B" w14:textId="77777777" w:rsidR="00C87175" w:rsidRPr="00C87175" w:rsidRDefault="00C87175" w:rsidP="00C87175">
      <w:r w:rsidRPr="00C87175">
        <w:t>Surgery was performed as previously described [</w:t>
      </w:r>
      <w:hyperlink r:id="rId135" w:anchor="B16-molecules-19-01060" w:history="1">
        <w:r w:rsidRPr="00C87175">
          <w:rPr>
            <w:rStyle w:val="a7"/>
            <w:b/>
            <w:bCs/>
          </w:rPr>
          <w:t>16</w:t>
        </w:r>
      </w:hyperlink>
      <w:r w:rsidRPr="00C87175">
        <w:t xml:space="preserve">], with minor modifications. Briefly, rats were anaesthetized with 2% </w:t>
      </w:r>
      <w:proofErr w:type="spellStart"/>
      <w:r w:rsidRPr="00C87175">
        <w:t>isofluorane</w:t>
      </w:r>
      <w:proofErr w:type="spellEnd"/>
      <w:r w:rsidRPr="00C87175">
        <w:t xml:space="preserve"> and, a 1 cm longitudinal incision was made with scalpel, through skin and fascia of the plantar aspect of the paw, starting 0.5 cm from the proximal edge of the heel and extending toward the toes. The plantar muscle was raised and incised longitudinally. Following </w:t>
      </w:r>
      <w:proofErr w:type="spellStart"/>
      <w:r w:rsidRPr="00C87175">
        <w:t>haemostasis</w:t>
      </w:r>
      <w:proofErr w:type="spellEnd"/>
      <w:r w:rsidRPr="00C87175">
        <w:t xml:space="preserve"> with gentle pressure, the skin was opposed with two single interrupted sutures using polyamide monofilaments. The animals were allowed to recover in their home cages.</w:t>
      </w:r>
    </w:p>
    <w:p w14:paraId="331D7FE9" w14:textId="77777777" w:rsidR="00C87175" w:rsidRPr="00C87175" w:rsidRDefault="00C87175" w:rsidP="00C87175">
      <w:pPr>
        <w:rPr>
          <w:i/>
          <w:iCs/>
        </w:rPr>
      </w:pPr>
      <w:r w:rsidRPr="00C87175">
        <w:rPr>
          <w:i/>
          <w:iCs/>
        </w:rPr>
        <w:t>3.4. Spared Nerve Injury (SNI) of Neuropathic Pain Rat Model</w:t>
      </w:r>
    </w:p>
    <w:p w14:paraId="0DC0DB46" w14:textId="77777777" w:rsidR="00C87175" w:rsidRPr="00C87175" w:rsidRDefault="00C87175" w:rsidP="00C87175">
      <w:r w:rsidRPr="00C87175">
        <w:t>The surgical procedure was performed as described previously with some modifications [</w:t>
      </w:r>
      <w:hyperlink r:id="rId136" w:anchor="B33-molecules-19-01060" w:history="1">
        <w:r w:rsidRPr="00C87175">
          <w:rPr>
            <w:rStyle w:val="a7"/>
            <w:b/>
            <w:bCs/>
          </w:rPr>
          <w:t>33</w:t>
        </w:r>
      </w:hyperlink>
      <w:r w:rsidRPr="00C87175">
        <w:t>]. The SNI procedure comprised an axotomy and ligation of the tibial and common peroneal nerves leaving the sural nerve intact. The common peroneal and the tibial nerves were tightly ligated with 5.0 silk and sectioned distal to the ligation, removing 2 ± 4 mm of the distal nerve stump. Great care was taken to avoid any contact with or stretching of the intact sural nerve. The skin was opposed with two single interrupted sutures using polyamide monofilaments.</w:t>
      </w:r>
    </w:p>
    <w:p w14:paraId="3AA8C6CD" w14:textId="77777777" w:rsidR="00C87175" w:rsidRPr="00C87175" w:rsidRDefault="00C87175" w:rsidP="00C87175">
      <w:pPr>
        <w:rPr>
          <w:i/>
          <w:iCs/>
        </w:rPr>
      </w:pPr>
      <w:r w:rsidRPr="00C87175">
        <w:rPr>
          <w:i/>
          <w:iCs/>
        </w:rPr>
        <w:t>3.5. Mechanical Withdrawal Threshold (MWT) Analysis</w:t>
      </w:r>
    </w:p>
    <w:p w14:paraId="77DF6D0D" w14:textId="77777777" w:rsidR="00C87175" w:rsidRPr="00C87175" w:rsidRDefault="00C87175" w:rsidP="00C87175">
      <w:r w:rsidRPr="00C87175">
        <w:t>Animals were placed on an elevated wire grid and the plantar surface of the paw stimulated with a series of ascending force von Frey monofilaments (</w:t>
      </w:r>
      <w:proofErr w:type="spellStart"/>
      <w:r w:rsidRPr="00C87175">
        <w:t>Stoelting</w:t>
      </w:r>
      <w:proofErr w:type="spellEnd"/>
      <w:r w:rsidRPr="00C87175">
        <w:t xml:space="preserve">, Chicago, IL, USA). The threshold was taken as the lowest force that evoked a brisk withdrawal response to one of three repetitive stimuli. To determine the time course of hyperalgesia and allodynia, a baseline measurement was made prior to surgery, and then again at 6 and 24 h post-surgery for hyperalgesia, 3, 6, 9, </w:t>
      </w:r>
      <w:proofErr w:type="gramStart"/>
      <w:r w:rsidRPr="00C87175">
        <w:t>12, 15, 18, and 21 days</w:t>
      </w:r>
      <w:proofErr w:type="gramEnd"/>
      <w:r w:rsidRPr="00C87175">
        <w:t xml:space="preserve"> post-surgery for allodynia.</w:t>
      </w:r>
    </w:p>
    <w:p w14:paraId="22D3B56F" w14:textId="07C3A2D6" w:rsidR="00C87175" w:rsidRDefault="00C87175">
      <w:pPr>
        <w:widowControl/>
        <w:jc w:val="left"/>
      </w:pPr>
      <w:r>
        <w:rPr>
          <w:rFonts w:hint="eastAsia"/>
        </w:rPr>
        <w:br w:type="page"/>
      </w:r>
    </w:p>
    <w:p w14:paraId="774A91F4" w14:textId="76CAF627" w:rsidR="00C87175" w:rsidRDefault="00A75605" w:rsidP="0014053A">
      <w:r>
        <w:rPr>
          <w:rFonts w:hint="eastAsia"/>
        </w:rPr>
        <w:lastRenderedPageBreak/>
        <w:t>21.</w:t>
      </w:r>
      <w:hyperlink r:id="rId137" w:history="1">
        <w:r w:rsidR="00E818E7" w:rsidRPr="00E818E7">
          <w:rPr>
            <w:rStyle w:val="a7"/>
          </w:rPr>
          <w:t>Identification of Spinal Circuits Transmitting and Gating Mechanical Pain - ScienceDirect</w:t>
        </w:r>
      </w:hyperlink>
    </w:p>
    <w:p w14:paraId="4876B1BE" w14:textId="77777777" w:rsidR="00E818E7" w:rsidRDefault="00E818E7" w:rsidP="0014053A"/>
    <w:p w14:paraId="593C379E" w14:textId="77777777" w:rsidR="00E818E7" w:rsidRPr="00E818E7" w:rsidRDefault="00E818E7" w:rsidP="00E818E7">
      <w:pPr>
        <w:rPr>
          <w:b/>
          <w:bCs/>
        </w:rPr>
      </w:pPr>
      <w:r w:rsidRPr="00E818E7">
        <w:rPr>
          <w:b/>
          <w:bCs/>
        </w:rPr>
        <w:t>Identification of Spinal Circuits Transmitting and Gating Mechanical Pain</w:t>
      </w:r>
    </w:p>
    <w:p w14:paraId="72900784" w14:textId="77777777" w:rsidR="00E818E7" w:rsidRDefault="00E818E7" w:rsidP="0014053A">
      <w:r w:rsidRPr="00E818E7">
        <w:t>Bo Duan </w:t>
      </w:r>
      <w:r w:rsidRPr="00E818E7">
        <w:rPr>
          <w:vertAlign w:val="superscript"/>
        </w:rPr>
        <w:t>1</w:t>
      </w:r>
      <w:r w:rsidRPr="00E818E7">
        <w:t> </w:t>
      </w:r>
      <w:r w:rsidRPr="00E818E7">
        <w:rPr>
          <w:vertAlign w:val="superscript"/>
        </w:rPr>
        <w:t>6</w:t>
      </w:r>
      <w:r w:rsidRPr="00E818E7">
        <w:t>, Longzhen Cheng </w:t>
      </w:r>
      <w:r w:rsidRPr="00E818E7">
        <w:rPr>
          <w:vertAlign w:val="superscript"/>
        </w:rPr>
        <w:t>1</w:t>
      </w:r>
      <w:r w:rsidRPr="00E818E7">
        <w:t> </w:t>
      </w:r>
      <w:r w:rsidRPr="00E818E7">
        <w:rPr>
          <w:vertAlign w:val="superscript"/>
        </w:rPr>
        <w:t>5</w:t>
      </w:r>
      <w:r w:rsidRPr="00E818E7">
        <w:t> </w:t>
      </w:r>
      <w:r w:rsidRPr="00E818E7">
        <w:rPr>
          <w:vertAlign w:val="superscript"/>
        </w:rPr>
        <w:t>6</w:t>
      </w:r>
      <w:r w:rsidRPr="00E818E7">
        <w:t>, Steeve Bourane </w:t>
      </w:r>
      <w:r w:rsidRPr="00E818E7">
        <w:rPr>
          <w:vertAlign w:val="superscript"/>
        </w:rPr>
        <w:t>2</w:t>
      </w:r>
      <w:r w:rsidRPr="00E818E7">
        <w:t>, Olivier Britz </w:t>
      </w:r>
      <w:r w:rsidRPr="00E818E7">
        <w:rPr>
          <w:vertAlign w:val="superscript"/>
        </w:rPr>
        <w:t>2</w:t>
      </w:r>
      <w:r w:rsidRPr="00E818E7">
        <w:t>, Christopher Padilla </w:t>
      </w:r>
      <w:r w:rsidRPr="00E818E7">
        <w:rPr>
          <w:vertAlign w:val="superscript"/>
        </w:rPr>
        <w:t>2</w:t>
      </w:r>
      <w:r w:rsidRPr="00E818E7">
        <w:t>,</w:t>
      </w:r>
    </w:p>
    <w:p w14:paraId="3009D528" w14:textId="1A7D5615" w:rsidR="00E818E7" w:rsidRDefault="00E818E7" w:rsidP="0014053A">
      <w:r w:rsidRPr="00E818E7">
        <w:t>Lid</w:t>
      </w:r>
      <w:r>
        <w:rPr>
          <w:rFonts w:hint="eastAsia"/>
        </w:rPr>
        <w:t>i</w:t>
      </w:r>
      <w:r w:rsidRPr="00E818E7">
        <w:t>a Garcia</w:t>
      </w:r>
      <w:r>
        <w:rPr>
          <w:rFonts w:hint="eastAsia"/>
        </w:rPr>
        <w:t>-</w:t>
      </w:r>
      <w:r w:rsidRPr="00E818E7">
        <w:t>Campmany </w:t>
      </w:r>
      <w:r w:rsidRPr="00E818E7">
        <w:rPr>
          <w:vertAlign w:val="superscript"/>
        </w:rPr>
        <w:t>2</w:t>
      </w:r>
      <w:r w:rsidRPr="00E818E7">
        <w:t>, Michael Krashes </w:t>
      </w:r>
      <w:r w:rsidRPr="00E818E7">
        <w:rPr>
          <w:vertAlign w:val="superscript"/>
        </w:rPr>
        <w:t>3</w:t>
      </w:r>
      <w:r w:rsidRPr="00E818E7">
        <w:t> </w:t>
      </w:r>
      <w:r w:rsidRPr="00E818E7">
        <w:rPr>
          <w:vertAlign w:val="superscript"/>
        </w:rPr>
        <w:t>7</w:t>
      </w:r>
      <w:r w:rsidRPr="00E818E7">
        <w:t>, Wendy Knowlton </w:t>
      </w:r>
      <w:r w:rsidRPr="00E818E7">
        <w:rPr>
          <w:vertAlign w:val="superscript"/>
        </w:rPr>
        <w:t>1</w:t>
      </w:r>
      <w:r w:rsidRPr="00E818E7">
        <w:t>, Tomoko Velasquez </w:t>
      </w:r>
      <w:r w:rsidRPr="00E818E7">
        <w:rPr>
          <w:vertAlign w:val="superscript"/>
        </w:rPr>
        <w:t>2</w:t>
      </w:r>
      <w:r w:rsidRPr="00E818E7">
        <w:t>, Xiangyu Ren </w:t>
      </w:r>
      <w:r w:rsidRPr="00E818E7">
        <w:rPr>
          <w:vertAlign w:val="superscript"/>
        </w:rPr>
        <w:t>1</w:t>
      </w:r>
      <w:r w:rsidRPr="00E818E7">
        <w:t>, Sarah E. Ross </w:t>
      </w:r>
      <w:r w:rsidRPr="00E818E7">
        <w:rPr>
          <w:vertAlign w:val="superscript"/>
        </w:rPr>
        <w:t>4</w:t>
      </w:r>
      <w:r w:rsidRPr="00E818E7">
        <w:t>, Bradford B. Lowell </w:t>
      </w:r>
      <w:r w:rsidRPr="00E818E7">
        <w:rPr>
          <w:vertAlign w:val="superscript"/>
        </w:rPr>
        <w:t>3</w:t>
      </w:r>
      <w:r w:rsidRPr="00E818E7">
        <w:t>, Yun Wang </w:t>
      </w:r>
      <w:r w:rsidRPr="00E818E7">
        <w:rPr>
          <w:vertAlign w:val="superscript"/>
        </w:rPr>
        <w:t>5</w:t>
      </w:r>
      <w:r w:rsidRPr="00E818E7">
        <w:t>, Martyn Goulding </w:t>
      </w:r>
      <w:r w:rsidRPr="00E818E7">
        <w:rPr>
          <w:vertAlign w:val="superscript"/>
        </w:rPr>
        <w:t>2</w:t>
      </w:r>
      <w:r w:rsidRPr="00E818E7">
        <w:t>, Qiufu Ma</w:t>
      </w:r>
    </w:p>
    <w:p w14:paraId="7D914720" w14:textId="4C5DE74C" w:rsidR="00E818E7" w:rsidRDefault="00E818E7" w:rsidP="0014053A">
      <w:r>
        <w:rPr>
          <w:rFonts w:hint="eastAsia"/>
          <w:noProof/>
        </w:rPr>
        <w:drawing>
          <wp:inline distT="0" distB="0" distL="0" distR="0" wp14:anchorId="7D3E366F" wp14:editId="0D852B0E">
            <wp:extent cx="3269673" cy="5319888"/>
            <wp:effectExtent l="0" t="0" r="6985" b="0"/>
            <wp:docPr id="4522871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277770" cy="5333062"/>
                    </a:xfrm>
                    <a:prstGeom prst="rect">
                      <a:avLst/>
                    </a:prstGeom>
                    <a:noFill/>
                  </pic:spPr>
                </pic:pic>
              </a:graphicData>
            </a:graphic>
          </wp:inline>
        </w:drawing>
      </w:r>
    </w:p>
    <w:p w14:paraId="59B256B1" w14:textId="77777777" w:rsidR="00E818E7" w:rsidRPr="00E818E7" w:rsidRDefault="00E818E7" w:rsidP="00E818E7">
      <w:r w:rsidRPr="00E818E7">
        <w:t> Characterization of SOM-Tomato</w:t>
      </w:r>
      <w:r w:rsidRPr="00E818E7">
        <w:rPr>
          <w:vertAlign w:val="superscript"/>
        </w:rPr>
        <w:t>+</w:t>
      </w:r>
      <w:r w:rsidRPr="00E818E7">
        <w:t xml:space="preserve"> Neurons at Brain Regions and Behavioral Tests in SOM </w:t>
      </w:r>
      <w:proofErr w:type="spellStart"/>
      <w:r w:rsidRPr="00E818E7">
        <w:t>Abl</w:t>
      </w:r>
      <w:proofErr w:type="spellEnd"/>
      <w:r w:rsidRPr="00E818E7">
        <w:t xml:space="preserve"> Versus Control Mice, Related to </w:t>
      </w:r>
      <w:bookmarkStart w:id="3" w:name="bfig2"/>
      <w:r w:rsidRPr="00E818E7">
        <w:fldChar w:fldCharType="begin"/>
      </w:r>
      <w:r w:rsidRPr="00E818E7">
        <w:instrText>HYPERLINK "https://www.sciencedirect.com/science/article/pii/S0092867414014342" \l "fig2"</w:instrText>
      </w:r>
      <w:r w:rsidRPr="00E818E7">
        <w:fldChar w:fldCharType="separate"/>
      </w:r>
      <w:r w:rsidRPr="00E818E7">
        <w:rPr>
          <w:rStyle w:val="a7"/>
        </w:rPr>
        <w:t>Figure 2</w:t>
      </w:r>
      <w:r w:rsidRPr="00E818E7">
        <w:fldChar w:fldCharType="end"/>
      </w:r>
      <w:bookmarkEnd w:id="3"/>
    </w:p>
    <w:p w14:paraId="29B4A483" w14:textId="77777777" w:rsidR="00E818E7" w:rsidRPr="00E818E7" w:rsidRDefault="00E818E7" w:rsidP="00E818E7">
      <w:r w:rsidRPr="00E818E7">
        <w:t>(A) SOM-Tomato</w:t>
      </w:r>
      <w:r w:rsidRPr="00E818E7">
        <w:rPr>
          <w:vertAlign w:val="superscript"/>
        </w:rPr>
        <w:t>+</w:t>
      </w:r>
      <w:r w:rsidRPr="00E818E7">
        <w:t> neurons in the </w:t>
      </w:r>
      <w:hyperlink r:id="rId139" w:tooltip="Learn more about spinal trigeminal nucleus from ScienceDirect's AI-generated Topic Pages" w:history="1">
        <w:r w:rsidRPr="00E818E7">
          <w:rPr>
            <w:rStyle w:val="a7"/>
          </w:rPr>
          <w:t>spinal trigeminal nucleus</w:t>
        </w:r>
      </w:hyperlink>
      <w:r w:rsidRPr="00E818E7">
        <w:t xml:space="preserve"> (“Sp5,” arrows) were lost in SOM </w:t>
      </w:r>
      <w:proofErr w:type="spellStart"/>
      <w:r w:rsidRPr="00E818E7">
        <w:t>Abl</w:t>
      </w:r>
      <w:proofErr w:type="spellEnd"/>
      <w:r w:rsidRPr="00E818E7">
        <w:t xml:space="preserve"> mice, but no loss was observed in the dorsal root ganglia (“DRG”), the </w:t>
      </w:r>
      <w:hyperlink r:id="rId140" w:tooltip="Learn more about periaqueductal gray from ScienceDirect's AI-generated Topic Pages" w:history="1">
        <w:r w:rsidRPr="00E818E7">
          <w:rPr>
            <w:rStyle w:val="a7"/>
          </w:rPr>
          <w:t>periaqueductal gray</w:t>
        </w:r>
      </w:hyperlink>
      <w:r w:rsidRPr="00E818E7">
        <w:t> nucleus (“PAG”), or the CA3 region of </w:t>
      </w:r>
      <w:hyperlink r:id="rId141" w:tooltip="Learn more about hippocampus from ScienceDirect's AI-generated Topic Pages" w:history="1">
        <w:r w:rsidRPr="00E818E7">
          <w:rPr>
            <w:rStyle w:val="a7"/>
          </w:rPr>
          <w:t>hippocampus</w:t>
        </w:r>
      </w:hyperlink>
      <w:r w:rsidRPr="00E818E7">
        <w:t>.</w:t>
      </w:r>
    </w:p>
    <w:p w14:paraId="1217F1C3" w14:textId="77777777" w:rsidR="00E818E7" w:rsidRPr="00E818E7" w:rsidRDefault="00E818E7" w:rsidP="00E818E7">
      <w:r w:rsidRPr="00E818E7">
        <w:t>(B) The </w:t>
      </w:r>
      <w:hyperlink r:id="rId142" w:tooltip="Learn more about rotarod assay from ScienceDirect's AI-generated Topic Pages" w:history="1">
        <w:r w:rsidRPr="00E818E7">
          <w:rPr>
            <w:rStyle w:val="a7"/>
          </w:rPr>
          <w:t>rotarod assay</w:t>
        </w:r>
      </w:hyperlink>
      <w:r w:rsidRPr="00E818E7">
        <w:t>. SOM neuron-ablated (“</w:t>
      </w:r>
      <w:proofErr w:type="spellStart"/>
      <w:r w:rsidRPr="00E818E7">
        <w:t>Abl</w:t>
      </w:r>
      <w:proofErr w:type="spellEnd"/>
      <w:r w:rsidRPr="00E818E7">
        <w:t xml:space="preserve">”; open rectangle) and control (“Ctrl”; solid rectangle) mice showed no difference in falling latencies (n = 13 in Ctrl group, n = 11 in </w:t>
      </w:r>
      <w:proofErr w:type="spellStart"/>
      <w:r w:rsidRPr="00E818E7">
        <w:t>Abl</w:t>
      </w:r>
      <w:proofErr w:type="spellEnd"/>
      <w:r w:rsidRPr="00E818E7">
        <w:t xml:space="preserve"> group; p &gt; 0.05, Student’s unpaired t test).</w:t>
      </w:r>
    </w:p>
    <w:p w14:paraId="3BA273D9" w14:textId="77777777" w:rsidR="00E818E7" w:rsidRPr="00E818E7" w:rsidRDefault="00E818E7" w:rsidP="00E818E7">
      <w:r w:rsidRPr="00E818E7">
        <w:t xml:space="preserve">(C) Touch sensation. No difference in response numbers per three trials of brushing (n = 13 in Ctrl group, n = 11 in </w:t>
      </w:r>
      <w:proofErr w:type="spellStart"/>
      <w:r w:rsidRPr="00E818E7">
        <w:t>Abl</w:t>
      </w:r>
      <w:proofErr w:type="spellEnd"/>
      <w:r w:rsidRPr="00E818E7">
        <w:t xml:space="preserve"> group; p &gt; 0.05, Student’s unpaired t test).</w:t>
      </w:r>
    </w:p>
    <w:p w14:paraId="62431389" w14:textId="77777777" w:rsidR="00E818E7" w:rsidRPr="00E818E7" w:rsidRDefault="00E818E7" w:rsidP="00E818E7">
      <w:r w:rsidRPr="00E818E7">
        <w:lastRenderedPageBreak/>
        <w:t xml:space="preserve">(D) Touch sensation. No difference in latencies of removing sticky tape (n = 9 in Ctrl group, n = 8 in </w:t>
      </w:r>
      <w:proofErr w:type="spellStart"/>
      <w:r w:rsidRPr="00E818E7">
        <w:t>Abl</w:t>
      </w:r>
      <w:proofErr w:type="spellEnd"/>
      <w:r w:rsidRPr="00E818E7">
        <w:t xml:space="preserve"> group; p &gt; 0.05, Student’s unpaired t test).</w:t>
      </w:r>
    </w:p>
    <w:p w14:paraId="42516874" w14:textId="77777777" w:rsidR="00E818E7" w:rsidRPr="00E818E7" w:rsidRDefault="00E818E7" w:rsidP="00E818E7">
      <w:r w:rsidRPr="00E818E7">
        <w:t xml:space="preserve">(E) No difference in behavioral responses to acetone-evoked cooling (n = 13 in Ctrl group, n = 9 in </w:t>
      </w:r>
      <w:proofErr w:type="spellStart"/>
      <w:r w:rsidRPr="00E818E7">
        <w:t>Abl</w:t>
      </w:r>
      <w:proofErr w:type="spellEnd"/>
      <w:r w:rsidRPr="00E818E7">
        <w:t xml:space="preserve"> group; p &gt; 0.05, Student’s unpaired t test).</w:t>
      </w:r>
    </w:p>
    <w:p w14:paraId="48210361" w14:textId="77777777" w:rsidR="00E818E7" w:rsidRPr="00E818E7" w:rsidRDefault="00E818E7" w:rsidP="00E818E7">
      <w:r w:rsidRPr="00E818E7">
        <w:t xml:space="preserve">(F) Cold plate assays. No difference in latencies of forepaw flinching or </w:t>
      </w:r>
      <w:proofErr w:type="spellStart"/>
      <w:r w:rsidRPr="00E818E7">
        <w:t>hindpaw</w:t>
      </w:r>
      <w:proofErr w:type="spellEnd"/>
      <w:r w:rsidRPr="00E818E7">
        <w:t xml:space="preserve"> licking (n = 13 in Ctrl group, n = 11 in </w:t>
      </w:r>
      <w:proofErr w:type="spellStart"/>
      <w:r w:rsidRPr="00E818E7">
        <w:t>Abl</w:t>
      </w:r>
      <w:proofErr w:type="spellEnd"/>
      <w:r w:rsidRPr="00E818E7">
        <w:t xml:space="preserve"> group; p &gt; 0.05, Student’s unpaired t test).</w:t>
      </w:r>
    </w:p>
    <w:p w14:paraId="358B86E4" w14:textId="77777777" w:rsidR="00E818E7" w:rsidRPr="00E818E7" w:rsidRDefault="00E818E7" w:rsidP="00E818E7">
      <w:r w:rsidRPr="00E818E7">
        <w:t xml:space="preserve">(G) No difference in the Hargreaves heat test (n = 13 in Ctrl group, n = 11 in </w:t>
      </w:r>
      <w:proofErr w:type="spellStart"/>
      <w:r w:rsidRPr="00E818E7">
        <w:t>Abl</w:t>
      </w:r>
      <w:proofErr w:type="spellEnd"/>
      <w:r w:rsidRPr="00E818E7">
        <w:t xml:space="preserve"> group; p &gt; 0.05, Student’s unpaired t test).</w:t>
      </w:r>
    </w:p>
    <w:p w14:paraId="44C2ACD3" w14:textId="77777777" w:rsidR="00E818E7" w:rsidRPr="00E818E7" w:rsidRDefault="00E818E7" w:rsidP="00E818E7">
      <w:r w:rsidRPr="00E818E7">
        <w:t xml:space="preserve">(H) No difference in hot plate assays (n = 13 in Ctrl group, n = 11 in </w:t>
      </w:r>
      <w:proofErr w:type="spellStart"/>
      <w:r w:rsidRPr="00E818E7">
        <w:t>Abl</w:t>
      </w:r>
      <w:proofErr w:type="spellEnd"/>
      <w:r w:rsidRPr="00E818E7">
        <w:t xml:space="preserve"> group; p &gt; 0.05, Student’s unpaired t test).</w:t>
      </w:r>
    </w:p>
    <w:p w14:paraId="7B6CE5E1" w14:textId="77777777" w:rsidR="00E818E7" w:rsidRPr="00E818E7" w:rsidRDefault="00E818E7" w:rsidP="00E818E7">
      <w:r w:rsidRPr="00E818E7">
        <w:t xml:space="preserve">(I) Abolition of mechanical hypersensitivity induced by peripheral inflammation and measured by response percentages to a range of von Frey filaments in </w:t>
      </w:r>
      <w:proofErr w:type="spellStart"/>
      <w:r w:rsidRPr="00E818E7">
        <w:t>Abl</w:t>
      </w:r>
      <w:proofErr w:type="spellEnd"/>
      <w:r w:rsidRPr="00E818E7">
        <w:t xml:space="preserve"> mice in comparison with control mice (n = 5 in each group; </w:t>
      </w:r>
      <w:r w:rsidRPr="00E818E7">
        <w:rPr>
          <w:rFonts w:ascii="MS Gothic" w:eastAsia="MS Gothic" w:hAnsi="MS Gothic" w:cs="MS Gothic" w:hint="eastAsia"/>
          <w:vertAlign w:val="superscript"/>
        </w:rPr>
        <w:t>∗∗∗</w:t>
      </w:r>
      <w:r w:rsidRPr="00E818E7">
        <w:t>p &lt; 0.001, Student</w:t>
      </w:r>
      <w:proofErr w:type="gramStart"/>
      <w:r w:rsidRPr="00E818E7">
        <w:t>’</w:t>
      </w:r>
      <w:proofErr w:type="gramEnd"/>
      <w:r w:rsidRPr="00E818E7">
        <w:t>s unpaired t test).</w:t>
      </w:r>
    </w:p>
    <w:p w14:paraId="1BBBD0AB" w14:textId="77777777" w:rsidR="00E818E7" w:rsidRPr="00E818E7" w:rsidRDefault="00E818E7" w:rsidP="00E818E7">
      <w:r w:rsidRPr="00E818E7">
        <w:t xml:space="preserve">(J) No difference in inflammation-induced heat hyperalgesia by the Hargreaves test (n = 7 in Ctrl group, n = 6 in </w:t>
      </w:r>
      <w:proofErr w:type="spellStart"/>
      <w:r w:rsidRPr="00E818E7">
        <w:t>Abl</w:t>
      </w:r>
      <w:proofErr w:type="spellEnd"/>
      <w:r w:rsidRPr="00E818E7">
        <w:t xml:space="preserve"> group; p &gt; 0.05, one-way ANOVA with Newman-</w:t>
      </w:r>
      <w:proofErr w:type="spellStart"/>
      <w:r w:rsidRPr="00E818E7">
        <w:t>Keuls</w:t>
      </w:r>
      <w:proofErr w:type="spellEnd"/>
      <w:r w:rsidRPr="00E818E7">
        <w:t xml:space="preserve"> post hoc analysis). Data are represented as mean ± SEM.</w:t>
      </w:r>
    </w:p>
    <w:p w14:paraId="26713578" w14:textId="77777777" w:rsidR="00E818E7" w:rsidRDefault="00E818E7" w:rsidP="0014053A"/>
    <w:p w14:paraId="07AF1243" w14:textId="3013A69E" w:rsidR="00E818E7" w:rsidRDefault="00E818E7" w:rsidP="0014053A">
      <w:r>
        <w:rPr>
          <w:rFonts w:hint="eastAsia"/>
          <w:noProof/>
        </w:rPr>
        <w:drawing>
          <wp:inline distT="0" distB="0" distL="0" distR="0" wp14:anchorId="071F86EA" wp14:editId="418F22A7">
            <wp:extent cx="3878407" cy="3756731"/>
            <wp:effectExtent l="0" t="0" r="8255" b="0"/>
            <wp:docPr id="5444713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883946" cy="3762096"/>
                    </a:xfrm>
                    <a:prstGeom prst="rect">
                      <a:avLst/>
                    </a:prstGeom>
                    <a:noFill/>
                  </pic:spPr>
                </pic:pic>
              </a:graphicData>
            </a:graphic>
          </wp:inline>
        </w:drawing>
      </w:r>
    </w:p>
    <w:p w14:paraId="036CBFA9" w14:textId="77777777" w:rsidR="00E818E7" w:rsidRPr="00E818E7" w:rsidRDefault="00E818E7" w:rsidP="00E818E7">
      <w:r w:rsidRPr="00E818E7">
        <w:t xml:space="preserve">Loss of Acute Mechanical Pain in SOM </w:t>
      </w:r>
      <w:proofErr w:type="spellStart"/>
      <w:r w:rsidRPr="00E818E7">
        <w:t>Abl</w:t>
      </w:r>
      <w:proofErr w:type="spellEnd"/>
      <w:r w:rsidRPr="00E818E7">
        <w:t xml:space="preserve"> Mice and C/</w:t>
      </w:r>
      <w:proofErr w:type="spellStart"/>
      <w:r w:rsidRPr="00E818E7">
        <w:t>Aδ</w:t>
      </w:r>
      <w:proofErr w:type="spellEnd"/>
      <w:r w:rsidRPr="00E818E7">
        <w:t xml:space="preserve"> Inputs onto SOM-Tomato</w:t>
      </w:r>
      <w:r w:rsidRPr="00E818E7">
        <w:rPr>
          <w:vertAlign w:val="superscript"/>
        </w:rPr>
        <w:t>+</w:t>
      </w:r>
      <w:r w:rsidRPr="00E818E7">
        <w:t> Neurons</w:t>
      </w:r>
    </w:p>
    <w:p w14:paraId="7E017601" w14:textId="77777777" w:rsidR="00E818E7" w:rsidRPr="00E818E7" w:rsidRDefault="00E818E7" w:rsidP="00E818E7">
      <w:r w:rsidRPr="00E818E7">
        <w:t xml:space="preserve">(A) Increase of withdrawal thresholds to von Frey fiber stimulation in SOM </w:t>
      </w:r>
      <w:proofErr w:type="spellStart"/>
      <w:r w:rsidRPr="00E818E7">
        <w:t>Abl</w:t>
      </w:r>
      <w:proofErr w:type="spellEnd"/>
      <w:r w:rsidRPr="00E818E7">
        <w:t xml:space="preserve"> mice (“</w:t>
      </w:r>
      <w:proofErr w:type="spellStart"/>
      <w:r w:rsidRPr="00E818E7">
        <w:t>Abl</w:t>
      </w:r>
      <w:proofErr w:type="spellEnd"/>
      <w:r w:rsidRPr="00E818E7">
        <w:t xml:space="preserve">”) by up-down method (n = 13 in control [“Ctrl”] group, n = 11 in </w:t>
      </w:r>
      <w:proofErr w:type="spellStart"/>
      <w:r w:rsidRPr="00E818E7">
        <w:t>Abl</w:t>
      </w:r>
      <w:proofErr w:type="spellEnd"/>
      <w:r w:rsidRPr="00E818E7">
        <w:t xml:space="preserve"> group; </w:t>
      </w:r>
      <w:r w:rsidRPr="00E818E7">
        <w:rPr>
          <w:rFonts w:ascii="MS Gothic" w:eastAsia="MS Gothic" w:hAnsi="MS Gothic" w:cs="MS Gothic" w:hint="eastAsia"/>
          <w:vertAlign w:val="superscript"/>
        </w:rPr>
        <w:t>∗∗∗</w:t>
      </w:r>
      <w:r w:rsidRPr="00E818E7">
        <w:t>p &lt; 0.001, Student</w:t>
      </w:r>
      <w:proofErr w:type="gramStart"/>
      <w:r w:rsidRPr="00E818E7">
        <w:t>’</w:t>
      </w:r>
      <w:proofErr w:type="gramEnd"/>
      <w:r w:rsidRPr="00E818E7">
        <w:t>s unpaired t test).</w:t>
      </w:r>
    </w:p>
    <w:p w14:paraId="19190CBC" w14:textId="77777777" w:rsidR="00E818E7" w:rsidRPr="00E818E7" w:rsidRDefault="00E818E7" w:rsidP="00E818E7">
      <w:r w:rsidRPr="00E818E7">
        <w:t xml:space="preserve">(B) Reduced withdrawal percentages in SOM </w:t>
      </w:r>
      <w:proofErr w:type="spellStart"/>
      <w:r w:rsidRPr="00E818E7">
        <w:t>Abl</w:t>
      </w:r>
      <w:proofErr w:type="spellEnd"/>
      <w:r w:rsidRPr="00E818E7">
        <w:t xml:space="preserve"> mice in response to von Frey filaments (n = 5 in each group; </w:t>
      </w:r>
      <w:r w:rsidRPr="00E818E7">
        <w:rPr>
          <w:rFonts w:ascii="MS Gothic" w:eastAsia="MS Gothic" w:hAnsi="MS Gothic" w:cs="MS Gothic" w:hint="eastAsia"/>
          <w:vertAlign w:val="superscript"/>
        </w:rPr>
        <w:t>∗∗∗</w:t>
      </w:r>
      <w:r w:rsidRPr="00E818E7">
        <w:t>p &lt; 0.001, Student</w:t>
      </w:r>
      <w:proofErr w:type="gramStart"/>
      <w:r w:rsidRPr="00E818E7">
        <w:t>’</w:t>
      </w:r>
      <w:proofErr w:type="gramEnd"/>
      <w:r w:rsidRPr="00E818E7">
        <w:t>s unpaired t test)</w:t>
      </w:r>
    </w:p>
    <w:p w14:paraId="710A5240" w14:textId="77777777" w:rsidR="00E818E7" w:rsidRPr="00E818E7" w:rsidRDefault="00E818E7" w:rsidP="00E818E7">
      <w:r w:rsidRPr="00E818E7">
        <w:t xml:space="preserve">(C) Lost response to pinprick stimulation in SOM </w:t>
      </w:r>
      <w:proofErr w:type="spellStart"/>
      <w:r w:rsidRPr="00E818E7">
        <w:t>Abl</w:t>
      </w:r>
      <w:proofErr w:type="spellEnd"/>
      <w:r w:rsidRPr="00E818E7">
        <w:t xml:space="preserve"> mice (n = 13 in Ctrl group, n = 11 in </w:t>
      </w:r>
      <w:proofErr w:type="spellStart"/>
      <w:r w:rsidRPr="00E818E7">
        <w:t>Abl</w:t>
      </w:r>
      <w:proofErr w:type="spellEnd"/>
      <w:r w:rsidRPr="00E818E7">
        <w:t xml:space="preserve"> </w:t>
      </w:r>
      <w:r w:rsidRPr="00E818E7">
        <w:lastRenderedPageBreak/>
        <w:t>group; </w:t>
      </w:r>
      <w:r w:rsidRPr="00E818E7">
        <w:rPr>
          <w:rFonts w:ascii="MS Gothic" w:eastAsia="MS Gothic" w:hAnsi="MS Gothic" w:cs="MS Gothic" w:hint="eastAsia"/>
          <w:vertAlign w:val="superscript"/>
        </w:rPr>
        <w:t>∗∗∗</w:t>
      </w:r>
      <w:r w:rsidRPr="00E818E7">
        <w:t>p &lt; 0.001, Student</w:t>
      </w:r>
      <w:proofErr w:type="gramStart"/>
      <w:r w:rsidRPr="00E818E7">
        <w:t>’</w:t>
      </w:r>
      <w:proofErr w:type="gramEnd"/>
      <w:r w:rsidRPr="00E818E7">
        <w:t>s unpaired t test).</w:t>
      </w:r>
    </w:p>
    <w:p w14:paraId="340245CE" w14:textId="77777777" w:rsidR="00E818E7" w:rsidRPr="00E818E7" w:rsidRDefault="00E818E7" w:rsidP="00E818E7">
      <w:r w:rsidRPr="00E818E7">
        <w:t xml:space="preserve">(D) Greatly attenuated licking/flinching response to pinching in </w:t>
      </w:r>
      <w:proofErr w:type="spellStart"/>
      <w:r w:rsidRPr="00E818E7">
        <w:t>Abl</w:t>
      </w:r>
      <w:proofErr w:type="spellEnd"/>
      <w:r w:rsidRPr="00E818E7">
        <w:t xml:space="preserve"> mice (n = 9 in Ctrl group, n = 9 in </w:t>
      </w:r>
      <w:proofErr w:type="spellStart"/>
      <w:r w:rsidRPr="00E818E7">
        <w:t>Abl</w:t>
      </w:r>
      <w:proofErr w:type="spellEnd"/>
      <w:r w:rsidRPr="00E818E7">
        <w:t xml:space="preserve"> group; </w:t>
      </w:r>
      <w:r w:rsidRPr="00E818E7">
        <w:rPr>
          <w:rFonts w:ascii="MS Gothic" w:eastAsia="MS Gothic" w:hAnsi="MS Gothic" w:cs="MS Gothic" w:hint="eastAsia"/>
          <w:vertAlign w:val="superscript"/>
        </w:rPr>
        <w:t>∗∗∗</w:t>
      </w:r>
      <w:r w:rsidRPr="00E818E7">
        <w:t>p &lt; 0.001, Student</w:t>
      </w:r>
      <w:proofErr w:type="gramStart"/>
      <w:r w:rsidRPr="00E818E7">
        <w:t>’</w:t>
      </w:r>
      <w:proofErr w:type="gramEnd"/>
      <w:r w:rsidRPr="00E818E7">
        <w:t>s unpaired t test).</w:t>
      </w:r>
    </w:p>
    <w:p w14:paraId="563CC0AF" w14:textId="77777777" w:rsidR="00E818E7" w:rsidRPr="00E818E7" w:rsidRDefault="00E818E7" w:rsidP="00E818E7">
      <w:r w:rsidRPr="00E818E7">
        <w:t>(E) Schematic showing relative positions of recorded SOM-Tomato</w:t>
      </w:r>
      <w:r w:rsidRPr="00E818E7">
        <w:rPr>
          <w:vertAlign w:val="superscript"/>
        </w:rPr>
        <w:t>+</w:t>
      </w:r>
      <w:r w:rsidRPr="00E818E7">
        <w:t> neurons.</w:t>
      </w:r>
    </w:p>
    <w:p w14:paraId="73B8D309" w14:textId="77777777" w:rsidR="00E818E7" w:rsidRPr="00E818E7" w:rsidRDefault="00E818E7" w:rsidP="00E818E7">
      <w:r w:rsidRPr="00E818E7">
        <w:t>(F) Typical traces of C/</w:t>
      </w:r>
      <w:proofErr w:type="spellStart"/>
      <w:r w:rsidRPr="00E818E7">
        <w:t>Aδ</w:t>
      </w:r>
      <w:proofErr w:type="spellEnd"/>
      <w:r w:rsidRPr="00E818E7">
        <w:t>-evoked EPSCs and APs showing C/</w:t>
      </w:r>
      <w:proofErr w:type="spellStart"/>
      <w:r w:rsidRPr="00E818E7">
        <w:t>Aδ</w:t>
      </w:r>
      <w:proofErr w:type="spellEnd"/>
      <w:r w:rsidRPr="00E818E7">
        <w:t>-fiber inputs onto SOM-Tomato</w:t>
      </w:r>
      <w:r w:rsidRPr="00E818E7">
        <w:rPr>
          <w:vertAlign w:val="superscript"/>
        </w:rPr>
        <w:t>+</w:t>
      </w:r>
      <w:r w:rsidRPr="00E818E7">
        <w:t> neurons. Red arrows indicate stimulation artifacts.</w:t>
      </w:r>
    </w:p>
    <w:p w14:paraId="1484FBD4" w14:textId="77777777" w:rsidR="00E818E7" w:rsidRPr="00E818E7" w:rsidRDefault="00E818E7" w:rsidP="00E818E7">
      <w:r w:rsidRPr="00E818E7">
        <w:t>(G) The table is a summary of inputs in 41 recorded SOM-Tomato</w:t>
      </w:r>
      <w:r w:rsidRPr="00E818E7">
        <w:rPr>
          <w:vertAlign w:val="superscript"/>
        </w:rPr>
        <w:t>+</w:t>
      </w:r>
      <w:r w:rsidRPr="00E818E7">
        <w:t> neurons from eight mice.</w:t>
      </w:r>
    </w:p>
    <w:p w14:paraId="4CBDBBB9" w14:textId="77777777" w:rsidR="00E818E7" w:rsidRPr="00E818E7" w:rsidRDefault="00E818E7" w:rsidP="00E818E7">
      <w:r w:rsidRPr="00E818E7">
        <w:t>(H) Schematic showing that SOM-Tomato</w:t>
      </w:r>
      <w:r w:rsidRPr="00E818E7">
        <w:rPr>
          <w:vertAlign w:val="superscript"/>
        </w:rPr>
        <w:t>+</w:t>
      </w:r>
      <w:r w:rsidRPr="00E818E7">
        <w:t> neurons in lamina II receive mono-C/</w:t>
      </w:r>
      <w:proofErr w:type="spellStart"/>
      <w:r w:rsidRPr="00E818E7">
        <w:t>Aδ</w:t>
      </w:r>
      <w:proofErr w:type="spellEnd"/>
      <w:r w:rsidRPr="00E818E7">
        <w:t xml:space="preserve"> input and transmit noxious signaling to lamina I and/or V pain output neurons, either directly or indirectly (dashed arrows). Data are represented as mean ± SEM. See also </w:t>
      </w:r>
      <w:bookmarkStart w:id="4" w:name="bfigs1"/>
      <w:r w:rsidRPr="00E818E7">
        <w:fldChar w:fldCharType="begin"/>
      </w:r>
      <w:r w:rsidRPr="00E818E7">
        <w:instrText>HYPERLINK "https://www.sciencedirect.com/science/article/pii/S0092867414014342" \l "figs1"</w:instrText>
      </w:r>
      <w:r w:rsidRPr="00E818E7">
        <w:fldChar w:fldCharType="separate"/>
      </w:r>
      <w:r w:rsidRPr="00E818E7">
        <w:rPr>
          <w:rStyle w:val="a7"/>
        </w:rPr>
        <w:t>Figure S1</w:t>
      </w:r>
      <w:r w:rsidRPr="00E818E7">
        <w:fldChar w:fldCharType="end"/>
      </w:r>
      <w:bookmarkEnd w:id="4"/>
      <w:r w:rsidRPr="00E818E7">
        <w:t>, </w:t>
      </w:r>
      <w:bookmarkStart w:id="5" w:name="bfigs2"/>
      <w:r w:rsidRPr="00E818E7">
        <w:fldChar w:fldCharType="begin"/>
      </w:r>
      <w:r w:rsidRPr="00E818E7">
        <w:instrText>HYPERLINK "https://www.sciencedirect.com/science/article/pii/S0092867414014342" \l "figs2"</w:instrText>
      </w:r>
      <w:r w:rsidRPr="00E818E7">
        <w:fldChar w:fldCharType="separate"/>
      </w:r>
      <w:r w:rsidRPr="00E818E7">
        <w:rPr>
          <w:rStyle w:val="a7"/>
        </w:rPr>
        <w:t>S2</w:t>
      </w:r>
      <w:r w:rsidRPr="00E818E7">
        <w:fldChar w:fldCharType="end"/>
      </w:r>
      <w:bookmarkEnd w:id="5"/>
      <w:r w:rsidRPr="00E818E7">
        <w:t>, </w:t>
      </w:r>
      <w:bookmarkStart w:id="6" w:name="bfigs3"/>
      <w:r w:rsidRPr="00E818E7">
        <w:fldChar w:fldCharType="begin"/>
      </w:r>
      <w:r w:rsidRPr="00E818E7">
        <w:instrText>HYPERLINK "https://www.sciencedirect.com/science/article/pii/S0092867414014342" \l "figs3"</w:instrText>
      </w:r>
      <w:r w:rsidRPr="00E818E7">
        <w:fldChar w:fldCharType="separate"/>
      </w:r>
      <w:r w:rsidRPr="00E818E7">
        <w:rPr>
          <w:rStyle w:val="a7"/>
        </w:rPr>
        <w:t>S3</w:t>
      </w:r>
      <w:r w:rsidRPr="00E818E7">
        <w:fldChar w:fldCharType="end"/>
      </w:r>
      <w:bookmarkEnd w:id="6"/>
      <w:r w:rsidRPr="00E818E7">
        <w:t>, </w:t>
      </w:r>
      <w:bookmarkStart w:id="7" w:name="bfigs4"/>
      <w:r w:rsidRPr="00E818E7">
        <w:fldChar w:fldCharType="begin"/>
      </w:r>
      <w:r w:rsidRPr="00E818E7">
        <w:instrText>HYPERLINK "https://www.sciencedirect.com/science/article/pii/S0092867414014342" \l "figs4"</w:instrText>
      </w:r>
      <w:r w:rsidRPr="00E818E7">
        <w:fldChar w:fldCharType="separate"/>
      </w:r>
      <w:r w:rsidRPr="00E818E7">
        <w:rPr>
          <w:rStyle w:val="a7"/>
        </w:rPr>
        <w:t>S4</w:t>
      </w:r>
      <w:r w:rsidRPr="00E818E7">
        <w:fldChar w:fldCharType="end"/>
      </w:r>
      <w:bookmarkEnd w:id="7"/>
      <w:r w:rsidRPr="00E818E7">
        <w:t>, and </w:t>
      </w:r>
      <w:bookmarkStart w:id="8" w:name="bfigs5"/>
      <w:r w:rsidRPr="00E818E7">
        <w:fldChar w:fldCharType="begin"/>
      </w:r>
      <w:r w:rsidRPr="00E818E7">
        <w:instrText>HYPERLINK "https://www.sciencedirect.com/science/article/pii/S0092867414014342" \l "figs5"</w:instrText>
      </w:r>
      <w:r w:rsidRPr="00E818E7">
        <w:fldChar w:fldCharType="separate"/>
      </w:r>
      <w:r w:rsidRPr="00E818E7">
        <w:rPr>
          <w:rStyle w:val="a7"/>
        </w:rPr>
        <w:t>S5</w:t>
      </w:r>
      <w:r w:rsidRPr="00E818E7">
        <w:fldChar w:fldCharType="end"/>
      </w:r>
      <w:bookmarkEnd w:id="8"/>
      <w:r w:rsidRPr="00E818E7">
        <w:t>.</w:t>
      </w:r>
    </w:p>
    <w:p w14:paraId="19E9470C" w14:textId="77777777" w:rsidR="00E818E7" w:rsidRDefault="00E818E7" w:rsidP="0014053A"/>
    <w:p w14:paraId="2B51449D" w14:textId="2D35FAD1" w:rsidR="00E818E7" w:rsidRDefault="00E818E7" w:rsidP="0014053A">
      <w:r>
        <w:rPr>
          <w:rFonts w:hint="eastAsia"/>
          <w:noProof/>
        </w:rPr>
        <w:drawing>
          <wp:inline distT="0" distB="0" distL="0" distR="0" wp14:anchorId="148065BD" wp14:editId="25920C65">
            <wp:extent cx="5141422" cy="4874130"/>
            <wp:effectExtent l="0" t="0" r="2540" b="3175"/>
            <wp:docPr id="979377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148857" cy="4881179"/>
                    </a:xfrm>
                    <a:prstGeom prst="rect">
                      <a:avLst/>
                    </a:prstGeom>
                    <a:noFill/>
                  </pic:spPr>
                </pic:pic>
              </a:graphicData>
            </a:graphic>
          </wp:inline>
        </w:drawing>
      </w:r>
    </w:p>
    <w:p w14:paraId="46B5F400" w14:textId="77777777" w:rsidR="00E818E7" w:rsidRPr="00E818E7" w:rsidRDefault="00E818E7" w:rsidP="00E818E7">
      <w:r w:rsidRPr="00E818E7">
        <w:t>Ablation of Tac2-Tomato</w:t>
      </w:r>
      <w:r w:rsidRPr="00E818E7">
        <w:rPr>
          <w:vertAlign w:val="superscript"/>
        </w:rPr>
        <w:t>+</w:t>
      </w:r>
      <w:r w:rsidRPr="00E818E7">
        <w:t> Neurons in Dorsal Horn Did Not Affect Pain Behaviors, Related to </w:t>
      </w:r>
      <w:hyperlink r:id="rId145" w:anchor="fig2" w:history="1">
        <w:r w:rsidRPr="00E818E7">
          <w:rPr>
            <w:rStyle w:val="a7"/>
          </w:rPr>
          <w:t>Figure 2</w:t>
        </w:r>
      </w:hyperlink>
    </w:p>
    <w:p w14:paraId="4D5E8DCC" w14:textId="77777777" w:rsidR="00E818E7" w:rsidRPr="00E818E7" w:rsidRDefault="00E818E7" w:rsidP="00E818E7">
      <w:r w:rsidRPr="00E818E7">
        <w:t>(A) Representative imaging of Tomato fluorescence showing loss of Tac2-Tomato</w:t>
      </w:r>
      <w:r w:rsidRPr="00E818E7">
        <w:rPr>
          <w:vertAlign w:val="superscript"/>
        </w:rPr>
        <w:t>+</w:t>
      </w:r>
      <w:r w:rsidRPr="00E818E7">
        <w:t> neurons in dorsal horn of Tac2 neuron-ablated “</w:t>
      </w:r>
      <w:proofErr w:type="spellStart"/>
      <w:r w:rsidRPr="00E818E7">
        <w:t>Abl</w:t>
      </w:r>
      <w:proofErr w:type="spellEnd"/>
      <w:r w:rsidRPr="00E818E7">
        <w:t xml:space="preserve">” mice. The Tac2 </w:t>
      </w:r>
      <w:proofErr w:type="spellStart"/>
      <w:r w:rsidRPr="00E818E7">
        <w:t>Abl</w:t>
      </w:r>
      <w:proofErr w:type="spellEnd"/>
      <w:r w:rsidRPr="00E818E7">
        <w:t xml:space="preserve"> mice were generated in the same way as SOM </w:t>
      </w:r>
      <w:proofErr w:type="spellStart"/>
      <w:r w:rsidRPr="00E818E7">
        <w:t>Abl</w:t>
      </w:r>
      <w:proofErr w:type="spellEnd"/>
      <w:r w:rsidRPr="00E818E7">
        <w:t xml:space="preserve"> mice were generated (described in </w:t>
      </w:r>
      <w:bookmarkStart w:id="9" w:name="bfig1"/>
      <w:r w:rsidRPr="00E818E7">
        <w:fldChar w:fldCharType="begin"/>
      </w:r>
      <w:r w:rsidRPr="00E818E7">
        <w:instrText>HYPERLINK "https://www.sciencedirect.com/science/article/pii/S0092867414014342" \l "fig1"</w:instrText>
      </w:r>
      <w:r w:rsidRPr="00E818E7">
        <w:fldChar w:fldCharType="separate"/>
      </w:r>
      <w:r w:rsidRPr="00E818E7">
        <w:rPr>
          <w:rStyle w:val="a7"/>
        </w:rPr>
        <w:t>Figure 1</w:t>
      </w:r>
      <w:r w:rsidRPr="00E818E7">
        <w:fldChar w:fldCharType="end"/>
      </w:r>
      <w:bookmarkEnd w:id="9"/>
      <w:r w:rsidRPr="00E818E7">
        <w:t>).</w:t>
      </w:r>
    </w:p>
    <w:p w14:paraId="3F72B73B" w14:textId="77777777" w:rsidR="00E818E7" w:rsidRPr="00E818E7" w:rsidRDefault="00E818E7" w:rsidP="00E818E7">
      <w:r w:rsidRPr="00E818E7">
        <w:t xml:space="preserve">(B) The rotarod assay. Tac2 </w:t>
      </w:r>
      <w:proofErr w:type="spellStart"/>
      <w:r w:rsidRPr="00E818E7">
        <w:t>Abl</w:t>
      </w:r>
      <w:proofErr w:type="spellEnd"/>
      <w:r w:rsidRPr="00E818E7">
        <w:t xml:space="preserve"> mice and control littermates (“Ctrl”) showed the same latencies (n = 10 in Ctrl group, n = 12 in </w:t>
      </w:r>
      <w:proofErr w:type="spellStart"/>
      <w:r w:rsidRPr="00E818E7">
        <w:t>Abl</w:t>
      </w:r>
      <w:proofErr w:type="spellEnd"/>
      <w:r w:rsidRPr="00E818E7">
        <w:t xml:space="preserve"> group; p &gt; 0.05, Student’s Unpaired t test).</w:t>
      </w:r>
    </w:p>
    <w:p w14:paraId="2EEC3065" w14:textId="77777777" w:rsidR="00E818E7" w:rsidRPr="00E818E7" w:rsidRDefault="00E818E7" w:rsidP="00E818E7">
      <w:r w:rsidRPr="00E818E7">
        <w:lastRenderedPageBreak/>
        <w:t xml:space="preserve">(C) Touch sensation. No difference in response numbers per three trials of brushing (n = 10 in Ctrl group, n = 12 in </w:t>
      </w:r>
      <w:proofErr w:type="spellStart"/>
      <w:r w:rsidRPr="00E818E7">
        <w:t>Abl</w:t>
      </w:r>
      <w:proofErr w:type="spellEnd"/>
      <w:r w:rsidRPr="00E818E7">
        <w:t xml:space="preserve"> group; p &gt; 0.05, Student’s unpaired t test).</w:t>
      </w:r>
    </w:p>
    <w:p w14:paraId="360963FD" w14:textId="77777777" w:rsidR="00E818E7" w:rsidRPr="00E818E7" w:rsidRDefault="00E818E7" w:rsidP="00E818E7">
      <w:r w:rsidRPr="00E818E7">
        <w:t xml:space="preserve">(D) Cooling sensation tested by </w:t>
      </w:r>
      <w:proofErr w:type="spellStart"/>
      <w:r w:rsidRPr="00E818E7">
        <w:t>hindpaw</w:t>
      </w:r>
      <w:proofErr w:type="spellEnd"/>
      <w:r w:rsidRPr="00E818E7">
        <w:t xml:space="preserve"> exposure to acetone. Ctrl and </w:t>
      </w:r>
      <w:proofErr w:type="spellStart"/>
      <w:r w:rsidRPr="00E818E7">
        <w:t>Abl</w:t>
      </w:r>
      <w:proofErr w:type="spellEnd"/>
      <w:r w:rsidRPr="00E818E7">
        <w:t xml:space="preserve"> mice showed comparable response scores (n = 11 in Ctrl group, n = 17 in </w:t>
      </w:r>
      <w:proofErr w:type="spellStart"/>
      <w:r w:rsidRPr="00E818E7">
        <w:t>Abl</w:t>
      </w:r>
      <w:proofErr w:type="spellEnd"/>
      <w:r w:rsidRPr="00E818E7">
        <w:t xml:space="preserve"> group; p &gt; 0.05, Student’s unpaired t test).</w:t>
      </w:r>
    </w:p>
    <w:p w14:paraId="214DBDD3" w14:textId="77777777" w:rsidR="00E818E7" w:rsidRPr="00E818E7" w:rsidRDefault="00E818E7" w:rsidP="00E818E7">
      <w:r w:rsidRPr="00E818E7">
        <w:t xml:space="preserve">(E) Cold pain tested by cold plate. Ctrl and </w:t>
      </w:r>
      <w:proofErr w:type="spellStart"/>
      <w:r w:rsidRPr="00E818E7">
        <w:t>Abl</w:t>
      </w:r>
      <w:proofErr w:type="spellEnd"/>
      <w:r w:rsidRPr="00E818E7">
        <w:t xml:space="preserve"> mice had no difference in latencies of forepaw flinching or </w:t>
      </w:r>
      <w:proofErr w:type="spellStart"/>
      <w:r w:rsidRPr="00E818E7">
        <w:t>hindpaw</w:t>
      </w:r>
      <w:proofErr w:type="spellEnd"/>
      <w:r w:rsidRPr="00E818E7">
        <w:t xml:space="preserve"> licking (n = 11 in Ctrl group, n = 17 in </w:t>
      </w:r>
      <w:proofErr w:type="spellStart"/>
      <w:r w:rsidRPr="00E818E7">
        <w:t>Abl</w:t>
      </w:r>
      <w:proofErr w:type="spellEnd"/>
      <w:r w:rsidRPr="00E818E7">
        <w:t xml:space="preserve"> group; p &gt; 0.05, Student’s unpaired t test).</w:t>
      </w:r>
    </w:p>
    <w:p w14:paraId="3E78041F" w14:textId="77777777" w:rsidR="00E818E7" w:rsidRPr="00E818E7" w:rsidRDefault="00E818E7" w:rsidP="00E818E7">
      <w:r w:rsidRPr="00E818E7">
        <w:t xml:space="preserve">(F) Heat pain measured by the Hargreaves test. Ctrl and </w:t>
      </w:r>
      <w:proofErr w:type="spellStart"/>
      <w:r w:rsidRPr="00E818E7">
        <w:t>Abl</w:t>
      </w:r>
      <w:proofErr w:type="spellEnd"/>
      <w:r w:rsidRPr="00E818E7">
        <w:t xml:space="preserve"> mice had no difference (n = 10 in Ctrl group, n = 12 in </w:t>
      </w:r>
      <w:proofErr w:type="spellStart"/>
      <w:r w:rsidRPr="00E818E7">
        <w:t>Abl</w:t>
      </w:r>
      <w:proofErr w:type="spellEnd"/>
      <w:r w:rsidRPr="00E818E7">
        <w:t xml:space="preserve"> group; p &gt; 0.05, Student’s unpaired t test).</w:t>
      </w:r>
    </w:p>
    <w:p w14:paraId="1D42E325" w14:textId="77777777" w:rsidR="00E818E7" w:rsidRPr="00E818E7" w:rsidRDefault="00E818E7" w:rsidP="00E818E7">
      <w:r w:rsidRPr="00E818E7">
        <w:t xml:space="preserve">(G) Heat pain tested by hot plate. Ctrl and </w:t>
      </w:r>
      <w:proofErr w:type="spellStart"/>
      <w:r w:rsidRPr="00E818E7">
        <w:t>Abl</w:t>
      </w:r>
      <w:proofErr w:type="spellEnd"/>
      <w:r w:rsidRPr="00E818E7">
        <w:t xml:space="preserve"> mice had no difference (n = 11 in Ctrl group, n = 17 in Ablated group; p &gt; 0.05, Student’s unpaired t test).</w:t>
      </w:r>
    </w:p>
    <w:p w14:paraId="2A10B9AA" w14:textId="77777777" w:rsidR="00E818E7" w:rsidRPr="00E818E7" w:rsidRDefault="00E818E7" w:rsidP="00E818E7">
      <w:r w:rsidRPr="00E818E7">
        <w:t xml:space="preserve">(H) Ctrl and </w:t>
      </w:r>
      <w:proofErr w:type="spellStart"/>
      <w:r w:rsidRPr="00E818E7">
        <w:t>Abl</w:t>
      </w:r>
      <w:proofErr w:type="spellEnd"/>
      <w:r w:rsidRPr="00E818E7">
        <w:t xml:space="preserve"> mice did no differ in </w:t>
      </w:r>
      <w:hyperlink r:id="rId146" w:tooltip="Learn more about von Frey test from ScienceDirect's AI-generated Topic Pages" w:history="1">
        <w:r w:rsidRPr="00E818E7">
          <w:rPr>
            <w:rStyle w:val="a7"/>
          </w:rPr>
          <w:t>von Frey test</w:t>
        </w:r>
      </w:hyperlink>
      <w:r w:rsidRPr="00E818E7">
        <w:t> by up-down method (n = 10 in Ctrl group, n = 12 in Ablated group; p &gt; 0.05, Student’s unpaired t test).</w:t>
      </w:r>
    </w:p>
    <w:p w14:paraId="5EAF8393" w14:textId="77777777" w:rsidR="00E818E7" w:rsidRPr="00E818E7" w:rsidRDefault="00E818E7" w:rsidP="00E818E7">
      <w:r w:rsidRPr="00E818E7">
        <w:t xml:space="preserve">(I) Static and dynamic mechanical allodynia following nerve injury. Ctrl and </w:t>
      </w:r>
      <w:proofErr w:type="spellStart"/>
      <w:r w:rsidRPr="00E818E7">
        <w:t>Abl</w:t>
      </w:r>
      <w:proofErr w:type="spellEnd"/>
      <w:r w:rsidRPr="00E818E7">
        <w:t xml:space="preserve"> mice had no difference (n = 6 in each group; p &gt; 0.05, one-way ANOVA with Newman-</w:t>
      </w:r>
      <w:proofErr w:type="spellStart"/>
      <w:r w:rsidRPr="00E818E7">
        <w:t>Keuls</w:t>
      </w:r>
      <w:proofErr w:type="spellEnd"/>
      <w:r w:rsidRPr="00E818E7">
        <w:t xml:space="preserve"> post hoc analysis). Data are represented as mean ± SEM.</w:t>
      </w:r>
    </w:p>
    <w:p w14:paraId="5D41C45E" w14:textId="77777777" w:rsidR="00E818E7" w:rsidRDefault="00E818E7" w:rsidP="0014053A"/>
    <w:p w14:paraId="2C0B14A4" w14:textId="2121E74A" w:rsidR="00E818E7" w:rsidRDefault="00E818E7" w:rsidP="0014053A">
      <w:r>
        <w:rPr>
          <w:rFonts w:hint="eastAsia"/>
          <w:noProof/>
        </w:rPr>
        <w:drawing>
          <wp:inline distT="0" distB="0" distL="0" distR="0" wp14:anchorId="4B0717DA" wp14:editId="460B4CD9">
            <wp:extent cx="3837709" cy="3870657"/>
            <wp:effectExtent l="0" t="0" r="0" b="0"/>
            <wp:docPr id="6728304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851949" cy="3885020"/>
                    </a:xfrm>
                    <a:prstGeom prst="rect">
                      <a:avLst/>
                    </a:prstGeom>
                    <a:noFill/>
                  </pic:spPr>
                </pic:pic>
              </a:graphicData>
            </a:graphic>
          </wp:inline>
        </w:drawing>
      </w:r>
    </w:p>
    <w:p w14:paraId="176F1E9B" w14:textId="77777777" w:rsidR="00E818E7" w:rsidRPr="00E818E7" w:rsidRDefault="00E818E7" w:rsidP="00E818E7">
      <w:r w:rsidRPr="00E818E7">
        <w:t>Behavior Analyses in Calb2 Neuron-Ablated Mice, Related to </w:t>
      </w:r>
      <w:hyperlink r:id="rId148" w:anchor="fig2" w:history="1">
        <w:r w:rsidRPr="00E818E7">
          <w:rPr>
            <w:rStyle w:val="a7"/>
          </w:rPr>
          <w:t>Figure 2</w:t>
        </w:r>
      </w:hyperlink>
    </w:p>
    <w:p w14:paraId="1CF5D12A" w14:textId="77777777" w:rsidR="00E818E7" w:rsidRPr="00E818E7" w:rsidRDefault="00E818E7" w:rsidP="00E818E7">
      <w:r w:rsidRPr="00E818E7">
        <w:t>(A) Representative imaging of Tomato fluorescence showing loss of Calb2</w:t>
      </w:r>
      <w:r w:rsidRPr="00E818E7">
        <w:rPr>
          <w:vertAlign w:val="superscript"/>
        </w:rPr>
        <w:t>+</w:t>
      </w:r>
      <w:r w:rsidRPr="00E818E7">
        <w:t xml:space="preserve"> neurons in dorsal horn of Calb2 neuron-ablated mice, which were generated in the same way as SOM </w:t>
      </w:r>
      <w:proofErr w:type="spellStart"/>
      <w:r w:rsidRPr="00E818E7">
        <w:t>Abl</w:t>
      </w:r>
      <w:proofErr w:type="spellEnd"/>
      <w:r w:rsidRPr="00E818E7">
        <w:t xml:space="preserve"> mice were generated (described in </w:t>
      </w:r>
      <w:hyperlink r:id="rId149" w:anchor="fig1" w:history="1">
        <w:r w:rsidRPr="00E818E7">
          <w:rPr>
            <w:rStyle w:val="a7"/>
          </w:rPr>
          <w:t>Figure 1</w:t>
        </w:r>
      </w:hyperlink>
      <w:r w:rsidRPr="00E818E7">
        <w:t>).</w:t>
      </w:r>
    </w:p>
    <w:p w14:paraId="1D65FC38" w14:textId="77777777" w:rsidR="00E818E7" w:rsidRPr="00E818E7" w:rsidRDefault="00E818E7" w:rsidP="00E818E7">
      <w:r w:rsidRPr="00E818E7">
        <w:t>(B) The rotarod assay. Calb2 neuron-ablated (“</w:t>
      </w:r>
      <w:proofErr w:type="spellStart"/>
      <w:r w:rsidRPr="00E818E7">
        <w:t>Abl</w:t>
      </w:r>
      <w:proofErr w:type="spellEnd"/>
      <w:r w:rsidRPr="00E818E7">
        <w:t xml:space="preserve">”) mice and control (“Ctrl”) littermates showed the same latencies (n = 6 in Ctrl group, n = 7 in Ablated group; p &gt; 0.05, Student’s </w:t>
      </w:r>
      <w:r w:rsidRPr="00E818E7">
        <w:lastRenderedPageBreak/>
        <w:t>unpaired t test).</w:t>
      </w:r>
    </w:p>
    <w:p w14:paraId="6C89C084" w14:textId="77777777" w:rsidR="00E818E7" w:rsidRPr="00E818E7" w:rsidRDefault="00E818E7" w:rsidP="00E818E7">
      <w:r w:rsidRPr="00E818E7">
        <w:t xml:space="preserve">(C) Touch sensation: Ctrl and </w:t>
      </w:r>
      <w:proofErr w:type="spellStart"/>
      <w:r w:rsidRPr="00E818E7">
        <w:t>Abl</w:t>
      </w:r>
      <w:proofErr w:type="spellEnd"/>
      <w:r w:rsidRPr="00E818E7">
        <w:t xml:space="preserve"> mice did no differ in light touch test (n = 12 in Ctrl group, n = 13 in </w:t>
      </w:r>
      <w:proofErr w:type="spellStart"/>
      <w:r w:rsidRPr="00E818E7">
        <w:t>Abl</w:t>
      </w:r>
      <w:proofErr w:type="spellEnd"/>
      <w:r w:rsidRPr="00E818E7">
        <w:t xml:space="preserve"> group; p &gt; 0.05, Student’s unpaired t test).</w:t>
      </w:r>
    </w:p>
    <w:p w14:paraId="7BAB6F6D" w14:textId="77777777" w:rsidR="00E818E7" w:rsidRPr="00E818E7" w:rsidRDefault="00E818E7" w:rsidP="00E818E7">
      <w:r w:rsidRPr="00E818E7">
        <w:t xml:space="preserve">(D) Touch sensation: Ctrl and </w:t>
      </w:r>
      <w:proofErr w:type="spellStart"/>
      <w:r w:rsidRPr="00E818E7">
        <w:t>Abl</w:t>
      </w:r>
      <w:proofErr w:type="spellEnd"/>
      <w:r w:rsidRPr="00E818E7">
        <w:t xml:space="preserve"> mice did no differ in sticky tape test (n = 6 in Ctrl group, n = 6 in </w:t>
      </w:r>
      <w:proofErr w:type="spellStart"/>
      <w:r w:rsidRPr="00E818E7">
        <w:t>Abl</w:t>
      </w:r>
      <w:proofErr w:type="spellEnd"/>
      <w:r w:rsidRPr="00E818E7">
        <w:t xml:space="preserve"> group; p &gt; 0.05, Student’s unpaired t test).</w:t>
      </w:r>
    </w:p>
    <w:p w14:paraId="7ADEA2F4" w14:textId="77777777" w:rsidR="00E818E7" w:rsidRPr="00E818E7" w:rsidRDefault="00E818E7" w:rsidP="00E818E7">
      <w:r w:rsidRPr="00E818E7">
        <w:t xml:space="preserve">(E) Heat pain tested by the Hargreaves test. Ctrl and </w:t>
      </w:r>
      <w:proofErr w:type="spellStart"/>
      <w:r w:rsidRPr="00E818E7">
        <w:t>Abl</w:t>
      </w:r>
      <w:proofErr w:type="spellEnd"/>
      <w:r w:rsidRPr="00E818E7">
        <w:t xml:space="preserve"> mice had no difference (n = 12 in Ctrl group, n = 13 in </w:t>
      </w:r>
      <w:proofErr w:type="spellStart"/>
      <w:r w:rsidRPr="00E818E7">
        <w:t>Abl</w:t>
      </w:r>
      <w:proofErr w:type="spellEnd"/>
      <w:r w:rsidRPr="00E818E7">
        <w:t xml:space="preserve"> group; p &gt; 0.05, Student’s unpaired t test).</w:t>
      </w:r>
    </w:p>
    <w:p w14:paraId="4A1E5C4E" w14:textId="77777777" w:rsidR="00E818E7" w:rsidRPr="00E818E7" w:rsidRDefault="00E818E7" w:rsidP="00E818E7">
      <w:r w:rsidRPr="00E818E7">
        <w:t xml:space="preserve">(F) Heat pain tested by hot plate. </w:t>
      </w:r>
      <w:proofErr w:type="spellStart"/>
      <w:r w:rsidRPr="00E818E7">
        <w:t>Abl</w:t>
      </w:r>
      <w:proofErr w:type="spellEnd"/>
      <w:r w:rsidRPr="00E818E7">
        <w:t xml:space="preserve"> mice had increase in response latencies of licking at 54°C (n = 12 in Ctrl group, n = 13 in </w:t>
      </w:r>
      <w:proofErr w:type="spellStart"/>
      <w:r w:rsidRPr="00E818E7">
        <w:t>Abl</w:t>
      </w:r>
      <w:proofErr w:type="spellEnd"/>
      <w:r w:rsidRPr="00E818E7">
        <w:t xml:space="preserve"> group; </w:t>
      </w:r>
      <w:r w:rsidRPr="00E818E7">
        <w:rPr>
          <w:rFonts w:ascii="MS Gothic" w:eastAsia="MS Gothic" w:hAnsi="MS Gothic" w:cs="MS Gothic" w:hint="eastAsia"/>
          <w:vertAlign w:val="superscript"/>
        </w:rPr>
        <w:t>∗</w:t>
      </w:r>
      <w:r w:rsidRPr="00E818E7">
        <w:t>p &lt; 0.05, Student</w:t>
      </w:r>
      <w:proofErr w:type="gramStart"/>
      <w:r w:rsidRPr="00E818E7">
        <w:t>’</w:t>
      </w:r>
      <w:proofErr w:type="gramEnd"/>
      <w:r w:rsidRPr="00E818E7">
        <w:t>s unpaired t test).</w:t>
      </w:r>
    </w:p>
    <w:p w14:paraId="09C80B4F" w14:textId="77777777" w:rsidR="00E818E7" w:rsidRPr="00E818E7" w:rsidRDefault="00E818E7" w:rsidP="00E818E7">
      <w:r w:rsidRPr="00E818E7">
        <w:t xml:space="preserve">(G) Cold pain tested by cold plate. Ctrl and </w:t>
      </w:r>
      <w:proofErr w:type="spellStart"/>
      <w:r w:rsidRPr="00E818E7">
        <w:t>Abl</w:t>
      </w:r>
      <w:proofErr w:type="spellEnd"/>
      <w:r w:rsidRPr="00E818E7">
        <w:t xml:space="preserve"> mice had no difference (n = 12 in Ctrl group, n = 13 in </w:t>
      </w:r>
      <w:proofErr w:type="spellStart"/>
      <w:r w:rsidRPr="00E818E7">
        <w:t>Abl</w:t>
      </w:r>
      <w:proofErr w:type="spellEnd"/>
      <w:r w:rsidRPr="00E818E7">
        <w:t xml:space="preserve"> group; p &gt; 0.05, Student’s unpaired t test).</w:t>
      </w:r>
    </w:p>
    <w:p w14:paraId="5A66898C" w14:textId="77777777" w:rsidR="00E818E7" w:rsidRPr="00E818E7" w:rsidRDefault="00E818E7" w:rsidP="00E818E7">
      <w:r w:rsidRPr="00E818E7">
        <w:t xml:space="preserve">(H) Von Frey assay: </w:t>
      </w:r>
      <w:proofErr w:type="spellStart"/>
      <w:r w:rsidRPr="00E818E7">
        <w:t>Abl</w:t>
      </w:r>
      <w:proofErr w:type="spellEnd"/>
      <w:r w:rsidRPr="00E818E7">
        <w:t xml:space="preserve"> mice had significant higher withdrawal threshold by the up-down method, raising the threshold from 0.35 ± 0.06 g in control mice to 1.11 ± 0.22 g in Calb2 </w:t>
      </w:r>
      <w:proofErr w:type="spellStart"/>
      <w:r w:rsidRPr="00E818E7">
        <w:t>Abl</w:t>
      </w:r>
      <w:proofErr w:type="spellEnd"/>
      <w:r w:rsidRPr="00E818E7">
        <w:t xml:space="preserve"> mice (n = 12 in Ctrl group, n = 13 in </w:t>
      </w:r>
      <w:proofErr w:type="spellStart"/>
      <w:r w:rsidRPr="00E818E7">
        <w:t>Abl</w:t>
      </w:r>
      <w:proofErr w:type="spellEnd"/>
      <w:r w:rsidRPr="00E818E7">
        <w:t xml:space="preserve"> group; </w:t>
      </w:r>
      <w:r w:rsidRPr="00E818E7">
        <w:rPr>
          <w:rFonts w:ascii="MS Gothic" w:eastAsia="MS Gothic" w:hAnsi="MS Gothic" w:cs="MS Gothic" w:hint="eastAsia"/>
          <w:vertAlign w:val="superscript"/>
        </w:rPr>
        <w:t>∗∗</w:t>
      </w:r>
      <w:r w:rsidRPr="00E818E7">
        <w:t>p &lt; 0.01, Student</w:t>
      </w:r>
      <w:proofErr w:type="gramStart"/>
      <w:r w:rsidRPr="00E818E7">
        <w:t>’</w:t>
      </w:r>
      <w:proofErr w:type="gramEnd"/>
      <w:r w:rsidRPr="00E818E7">
        <w:t>s unpaired t test).</w:t>
      </w:r>
    </w:p>
    <w:p w14:paraId="2AB7B460" w14:textId="77777777" w:rsidR="00E818E7" w:rsidRPr="00E818E7" w:rsidRDefault="00E818E7" w:rsidP="00E818E7">
      <w:r w:rsidRPr="00E818E7">
        <w:t xml:space="preserve">(I) Acute mechanical pain tested by pinprick test. Ctrl and </w:t>
      </w:r>
      <w:proofErr w:type="spellStart"/>
      <w:r w:rsidRPr="00E818E7">
        <w:t>Abl</w:t>
      </w:r>
      <w:proofErr w:type="spellEnd"/>
      <w:r w:rsidRPr="00E818E7">
        <w:t xml:space="preserve"> mice had no significant difference (n = 13 in Ctrl group, n = 13 in </w:t>
      </w:r>
      <w:proofErr w:type="spellStart"/>
      <w:r w:rsidRPr="00E818E7">
        <w:t>Abl</w:t>
      </w:r>
      <w:proofErr w:type="spellEnd"/>
      <w:r w:rsidRPr="00E818E7">
        <w:t xml:space="preserve"> group; p &gt; 0.05, Student’s unpaired t test).</w:t>
      </w:r>
    </w:p>
    <w:p w14:paraId="648F8BA8" w14:textId="77777777" w:rsidR="00E818E7" w:rsidRPr="00E818E7" w:rsidRDefault="00E818E7" w:rsidP="00E818E7">
      <w:r w:rsidRPr="00E818E7">
        <w:t xml:space="preserve">(J) Acute mechanical pain tested by pinch test. Ctrl and </w:t>
      </w:r>
      <w:proofErr w:type="spellStart"/>
      <w:r w:rsidRPr="00E818E7">
        <w:t>Abl</w:t>
      </w:r>
      <w:proofErr w:type="spellEnd"/>
      <w:r w:rsidRPr="00E818E7">
        <w:t xml:space="preserve"> mice had no significant difference (n = 5 in Ctrl group, n = 8 in </w:t>
      </w:r>
      <w:proofErr w:type="spellStart"/>
      <w:r w:rsidRPr="00E818E7">
        <w:t>Abl</w:t>
      </w:r>
      <w:proofErr w:type="spellEnd"/>
      <w:r w:rsidRPr="00E818E7">
        <w:t xml:space="preserve"> group. p &gt; 0.05, Student’s unpaired t test).</w:t>
      </w:r>
    </w:p>
    <w:p w14:paraId="71EDA27D" w14:textId="77777777" w:rsidR="00E818E7" w:rsidRPr="00E818E7" w:rsidRDefault="00E818E7" w:rsidP="00E818E7">
      <w:r w:rsidRPr="00E818E7">
        <w:t xml:space="preserve">(K) Static and dynamic mechanical allodynia following nerve injury. One to 15 days after injury, there is no difference in allodynia scores between </w:t>
      </w:r>
      <w:proofErr w:type="spellStart"/>
      <w:r w:rsidRPr="00E818E7">
        <w:t>Abl</w:t>
      </w:r>
      <w:proofErr w:type="spellEnd"/>
      <w:r w:rsidRPr="00E818E7">
        <w:t xml:space="preserve"> and Ctrl mice (n = 6–7 in each group. p &gt; 0.05, one-way ANOVA with Newman-</w:t>
      </w:r>
      <w:proofErr w:type="spellStart"/>
      <w:r w:rsidRPr="00E818E7">
        <w:t>Keuls</w:t>
      </w:r>
      <w:proofErr w:type="spellEnd"/>
      <w:r w:rsidRPr="00E818E7">
        <w:t xml:space="preserve"> post hoc analysis).</w:t>
      </w:r>
    </w:p>
    <w:p w14:paraId="447F9C48" w14:textId="77777777" w:rsidR="00E818E7" w:rsidRPr="00E818E7" w:rsidRDefault="00E818E7" w:rsidP="00E818E7">
      <w:r w:rsidRPr="00E818E7">
        <w:t xml:space="preserve">(L) Schematic indicating different spinal neuronal populations that sense light punctate mechanical stimuli versus intense mechanical pain and allodynia. Light punctate mechanical sensation, evoked by von Frey fibers at the force below 1.1 g, is likely sensed by the Calb2 lineage neurons with transient SOM expression, since (1) this sensation is lost in both Calb2 and SOM </w:t>
      </w:r>
      <w:proofErr w:type="spellStart"/>
      <w:r w:rsidRPr="00E818E7">
        <w:t>Abl</w:t>
      </w:r>
      <w:proofErr w:type="spellEnd"/>
      <w:r w:rsidRPr="00E818E7">
        <w:t xml:space="preserve"> mice and (2) Calb2 lineage neurons include neurons with transient SOM expression, but not neurons with persistent SOM expression. Alternatively, Calb2 and SOM lineage neurons might form a relay circuit in transmitting light punctate mechanical information. Intense mechanical pain evoked by pinpricking and pinching, as well as mechanical allodynia induced by nerve lesions, are mediated by SOM lineage neurons, since these forms of mechanical pain are impaired in SOM, but not Calb2, </w:t>
      </w:r>
      <w:proofErr w:type="spellStart"/>
      <w:r w:rsidRPr="00E818E7">
        <w:t>Abl</w:t>
      </w:r>
      <w:proofErr w:type="spellEnd"/>
      <w:r w:rsidRPr="00E818E7">
        <w:t xml:space="preserve"> mice. These data suggest a segregation of spinal neurons in processing light versus intense mechanical pain. Furthermore, the lack of mechanical pain deficits by pinpricking and pinching assays in Calb2 </w:t>
      </w:r>
      <w:proofErr w:type="spellStart"/>
      <w:r w:rsidRPr="00E818E7">
        <w:t>Abl</w:t>
      </w:r>
      <w:proofErr w:type="spellEnd"/>
      <w:r w:rsidRPr="00E818E7">
        <w:t xml:space="preserve"> mice also raises a question about whether it is valid to use withdrawal thresholds to von Frey fibers to measure “real” mechanical pain. Data are represented as mean ± SEM.</w:t>
      </w:r>
    </w:p>
    <w:p w14:paraId="2C3C5284" w14:textId="5B2BD20B" w:rsidR="00E818E7" w:rsidRDefault="00E818E7" w:rsidP="0014053A">
      <w:r>
        <w:rPr>
          <w:rFonts w:hint="eastAsia"/>
          <w:noProof/>
        </w:rPr>
        <w:lastRenderedPageBreak/>
        <w:drawing>
          <wp:inline distT="0" distB="0" distL="0" distR="0" wp14:anchorId="54B001FA" wp14:editId="5B3C5FC5">
            <wp:extent cx="4620491" cy="6090005"/>
            <wp:effectExtent l="0" t="0" r="8890" b="6350"/>
            <wp:docPr id="16432772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629021" cy="6101248"/>
                    </a:xfrm>
                    <a:prstGeom prst="rect">
                      <a:avLst/>
                    </a:prstGeom>
                    <a:noFill/>
                  </pic:spPr>
                </pic:pic>
              </a:graphicData>
            </a:graphic>
          </wp:inline>
        </w:drawing>
      </w:r>
    </w:p>
    <w:p w14:paraId="15384D28" w14:textId="77777777" w:rsidR="00382621" w:rsidRPr="00382621" w:rsidRDefault="00382621" w:rsidP="00382621">
      <w:r w:rsidRPr="00382621">
        <w:t xml:space="preserve">Spontaneous Development of Mechanical Allodynia in </w:t>
      </w:r>
      <w:proofErr w:type="spellStart"/>
      <w:r w:rsidRPr="00382621">
        <w:t>Dyn</w:t>
      </w:r>
      <w:proofErr w:type="spellEnd"/>
      <w:r w:rsidRPr="00382621">
        <w:t xml:space="preserve"> </w:t>
      </w:r>
      <w:proofErr w:type="spellStart"/>
      <w:r w:rsidRPr="00382621">
        <w:t>Abl</w:t>
      </w:r>
      <w:proofErr w:type="spellEnd"/>
      <w:r w:rsidRPr="00382621">
        <w:t xml:space="preserve"> Mice</w:t>
      </w:r>
    </w:p>
    <w:p w14:paraId="2BF4C4B5" w14:textId="77777777" w:rsidR="00382621" w:rsidRPr="00382621" w:rsidRDefault="00382621" w:rsidP="00382621">
      <w:r w:rsidRPr="00382621">
        <w:t xml:space="preserve">(A) Double staining of Tomato and </w:t>
      </w:r>
      <w:proofErr w:type="spellStart"/>
      <w:r w:rsidRPr="00382621">
        <w:t>Dyn</w:t>
      </w:r>
      <w:proofErr w:type="spellEnd"/>
      <w:r w:rsidRPr="00382621">
        <w:t xml:space="preserve"> mRNA in the spinal cord of </w:t>
      </w:r>
      <w:proofErr w:type="spellStart"/>
      <w:r w:rsidRPr="00382621">
        <w:t>Dyn</w:t>
      </w:r>
      <w:proofErr w:type="spellEnd"/>
      <w:r w:rsidRPr="00382621">
        <w:t>-Tomato mice.</w:t>
      </w:r>
    </w:p>
    <w:p w14:paraId="682B310A" w14:textId="77777777" w:rsidR="00382621" w:rsidRPr="00382621" w:rsidRDefault="00382621" w:rsidP="00382621">
      <w:r w:rsidRPr="00382621">
        <w:t xml:space="preserve">(B) Double staining of Tomato and indicated mRNAs in </w:t>
      </w:r>
      <w:proofErr w:type="spellStart"/>
      <w:r w:rsidRPr="00382621">
        <w:t>Dyn</w:t>
      </w:r>
      <w:proofErr w:type="spellEnd"/>
      <w:r w:rsidRPr="00382621">
        <w:t xml:space="preserve">-Tomato control mice and </w:t>
      </w:r>
      <w:proofErr w:type="spellStart"/>
      <w:r w:rsidRPr="00382621">
        <w:t>Dyn</w:t>
      </w:r>
      <w:proofErr w:type="spellEnd"/>
      <w:r w:rsidRPr="00382621">
        <w:t xml:space="preserve"> </w:t>
      </w:r>
      <w:proofErr w:type="spellStart"/>
      <w:r w:rsidRPr="00382621">
        <w:t>Abl</w:t>
      </w:r>
      <w:proofErr w:type="spellEnd"/>
      <w:r w:rsidRPr="00382621">
        <w:t xml:space="preserve"> mice. Right (upper): quantification analysis. Schematic in lower right showing selective ablation of inhibitory </w:t>
      </w:r>
      <w:proofErr w:type="spellStart"/>
      <w:r w:rsidRPr="00382621">
        <w:t>Dyn</w:t>
      </w:r>
      <w:proofErr w:type="spellEnd"/>
      <w:r w:rsidRPr="00382621">
        <w:t xml:space="preserve"> lineage neurons.</w:t>
      </w:r>
    </w:p>
    <w:p w14:paraId="5C052BF1" w14:textId="77777777" w:rsidR="00382621" w:rsidRPr="00382621" w:rsidRDefault="00382621" w:rsidP="00382621">
      <w:r w:rsidRPr="00382621">
        <w:t xml:space="preserve">(C) Reduction of withdrawal threshold to static stimuli (von Frey assay) and increase in dynamic allodynia score (brush assay) in </w:t>
      </w:r>
      <w:proofErr w:type="spellStart"/>
      <w:r w:rsidRPr="00382621">
        <w:t>Dyn</w:t>
      </w:r>
      <w:proofErr w:type="spellEnd"/>
      <w:r w:rsidRPr="00382621">
        <w:t xml:space="preserve"> neuron-ablated (“</w:t>
      </w:r>
      <w:proofErr w:type="spellStart"/>
      <w:r w:rsidRPr="00382621">
        <w:t>Abl</w:t>
      </w:r>
      <w:proofErr w:type="spellEnd"/>
      <w:r w:rsidRPr="00382621">
        <w:t xml:space="preserve">”) mice (n = 15 in control [“Ctrl”] group, n = 10 in </w:t>
      </w:r>
      <w:proofErr w:type="spellStart"/>
      <w:r w:rsidRPr="00382621">
        <w:t>Abl</w:t>
      </w:r>
      <w:proofErr w:type="spellEnd"/>
      <w:r w:rsidRPr="00382621">
        <w:t xml:space="preserve"> group; </w:t>
      </w:r>
      <w:r w:rsidRPr="00382621">
        <w:rPr>
          <w:rFonts w:ascii="MS Gothic" w:eastAsia="MS Gothic" w:hAnsi="MS Gothic" w:cs="MS Gothic" w:hint="eastAsia"/>
          <w:vertAlign w:val="superscript"/>
        </w:rPr>
        <w:t>∗∗∗</w:t>
      </w:r>
      <w:r w:rsidRPr="00382621">
        <w:t>p &lt; 0.001, Student</w:t>
      </w:r>
      <w:proofErr w:type="gramStart"/>
      <w:r w:rsidRPr="00382621">
        <w:t>’</w:t>
      </w:r>
      <w:proofErr w:type="gramEnd"/>
      <w:r w:rsidRPr="00382621">
        <w:t>s unpaired t test).</w:t>
      </w:r>
    </w:p>
    <w:p w14:paraId="4D739830" w14:textId="77777777" w:rsidR="00382621" w:rsidRPr="00382621" w:rsidRDefault="00382621" w:rsidP="00382621">
      <w:r w:rsidRPr="00382621">
        <w:t>(D and E) After spared nerve injury (SNI) (D) or peripheral inflammation by </w:t>
      </w:r>
      <w:hyperlink r:id="rId151" w:tooltip="Learn more about CFA treatment from ScienceDirect's AI-generated Topic Pages" w:history="1">
        <w:r w:rsidRPr="00382621">
          <w:rPr>
            <w:rStyle w:val="a7"/>
          </w:rPr>
          <w:t>CFA treatment</w:t>
        </w:r>
      </w:hyperlink>
      <w:r w:rsidRPr="00382621">
        <w:t> (E), control mice show a reduction in withdrawal thresholds to static stimuli by von Frey assay and an increase of dynamic allodynia score by the brush assay (n = 7, p &lt; 0.001, one-way ANOVA with Newman-</w:t>
      </w:r>
      <w:proofErr w:type="spellStart"/>
      <w:r w:rsidRPr="00382621">
        <w:t>Keuls</w:t>
      </w:r>
      <w:proofErr w:type="spellEnd"/>
      <w:r w:rsidRPr="00382621">
        <w:t xml:space="preserve"> post hoc analysis). No difference before and after nerve injury or inflammation in </w:t>
      </w:r>
      <w:proofErr w:type="spellStart"/>
      <w:r w:rsidRPr="00382621">
        <w:t>Abl</w:t>
      </w:r>
      <w:proofErr w:type="spellEnd"/>
      <w:r w:rsidRPr="00382621">
        <w:t xml:space="preserve"> mice (n = 6; p &gt; 0.05, one-way ANOVA with Newman-</w:t>
      </w:r>
      <w:proofErr w:type="spellStart"/>
      <w:r w:rsidRPr="00382621">
        <w:t>Keuls</w:t>
      </w:r>
      <w:proofErr w:type="spellEnd"/>
      <w:r w:rsidRPr="00382621">
        <w:t xml:space="preserve"> post hoc </w:t>
      </w:r>
      <w:r w:rsidRPr="00382621">
        <w:lastRenderedPageBreak/>
        <w:t>analysis). Data are represented as mean ± SEM. See also </w:t>
      </w:r>
      <w:bookmarkStart w:id="10" w:name="bfigs6"/>
      <w:r w:rsidRPr="00382621">
        <w:fldChar w:fldCharType="begin"/>
      </w:r>
      <w:r w:rsidRPr="00382621">
        <w:instrText>HYPERLINK "https://www.sciencedirect.com/science/article/pii/S0092867414014342" \l "figs6"</w:instrText>
      </w:r>
      <w:r w:rsidRPr="00382621">
        <w:fldChar w:fldCharType="separate"/>
      </w:r>
      <w:r w:rsidRPr="00382621">
        <w:rPr>
          <w:rStyle w:val="a7"/>
        </w:rPr>
        <w:t>Figures S6</w:t>
      </w:r>
      <w:r w:rsidRPr="00382621">
        <w:fldChar w:fldCharType="end"/>
      </w:r>
      <w:bookmarkEnd w:id="10"/>
      <w:r w:rsidRPr="00382621">
        <w:t> and </w:t>
      </w:r>
      <w:bookmarkStart w:id="11" w:name="bfigs7"/>
      <w:r w:rsidRPr="00382621">
        <w:fldChar w:fldCharType="begin"/>
      </w:r>
      <w:r w:rsidRPr="00382621">
        <w:instrText>HYPERLINK "https://www.sciencedirect.com/science/article/pii/S0092867414014342" \l "figs7"</w:instrText>
      </w:r>
      <w:r w:rsidRPr="00382621">
        <w:fldChar w:fldCharType="separate"/>
      </w:r>
      <w:r w:rsidRPr="00382621">
        <w:rPr>
          <w:rStyle w:val="a7"/>
        </w:rPr>
        <w:t>S7</w:t>
      </w:r>
      <w:r w:rsidRPr="00382621">
        <w:fldChar w:fldCharType="end"/>
      </w:r>
      <w:bookmarkEnd w:id="11"/>
      <w:r w:rsidRPr="00382621">
        <w:t>.</w:t>
      </w:r>
    </w:p>
    <w:p w14:paraId="5AD3AE0E" w14:textId="77777777" w:rsidR="00E818E7" w:rsidRDefault="00E818E7" w:rsidP="0014053A"/>
    <w:p w14:paraId="64EF9B56" w14:textId="11043D90" w:rsidR="00382621" w:rsidRDefault="00382621" w:rsidP="0014053A">
      <w:r>
        <w:rPr>
          <w:rFonts w:hint="eastAsia"/>
          <w:noProof/>
        </w:rPr>
        <w:drawing>
          <wp:inline distT="0" distB="0" distL="0" distR="0" wp14:anchorId="375BAEA1" wp14:editId="49A7842D">
            <wp:extent cx="5583382" cy="5215153"/>
            <wp:effectExtent l="0" t="0" r="0" b="5080"/>
            <wp:docPr id="12739880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587005" cy="5218537"/>
                    </a:xfrm>
                    <a:prstGeom prst="rect">
                      <a:avLst/>
                    </a:prstGeom>
                    <a:noFill/>
                  </pic:spPr>
                </pic:pic>
              </a:graphicData>
            </a:graphic>
          </wp:inline>
        </w:drawing>
      </w:r>
    </w:p>
    <w:p w14:paraId="1946BA6C" w14:textId="77777777" w:rsidR="00382621" w:rsidRPr="00382621" w:rsidRDefault="00382621" w:rsidP="00382621">
      <w:r w:rsidRPr="00382621">
        <w:t xml:space="preserve">Ablation of </w:t>
      </w:r>
      <w:proofErr w:type="spellStart"/>
      <w:r w:rsidRPr="00382621">
        <w:t>ChAT</w:t>
      </w:r>
      <w:proofErr w:type="spellEnd"/>
      <w:r w:rsidRPr="00382621">
        <w:t>-Tomato</w:t>
      </w:r>
      <w:r w:rsidRPr="00382621">
        <w:rPr>
          <w:vertAlign w:val="superscript"/>
        </w:rPr>
        <w:t>+</w:t>
      </w:r>
      <w:r w:rsidRPr="00382621">
        <w:t> Neurons in Dorsal Horn Did Not Affect Pain-Related Behaviors, Related to </w:t>
      </w:r>
      <w:bookmarkStart w:id="12" w:name="bfig5"/>
      <w:r w:rsidRPr="00382621">
        <w:fldChar w:fldCharType="begin"/>
      </w:r>
      <w:r w:rsidRPr="00382621">
        <w:instrText>HYPERLINK "https://www.sciencedirect.com/science/article/pii/S0092867414014342" \l "fig5"</w:instrText>
      </w:r>
      <w:r w:rsidRPr="00382621">
        <w:fldChar w:fldCharType="separate"/>
      </w:r>
      <w:r w:rsidRPr="00382621">
        <w:rPr>
          <w:rStyle w:val="a7"/>
        </w:rPr>
        <w:t>Figure 5</w:t>
      </w:r>
      <w:r w:rsidRPr="00382621">
        <w:fldChar w:fldCharType="end"/>
      </w:r>
      <w:bookmarkEnd w:id="12"/>
    </w:p>
    <w:p w14:paraId="496A7E3A" w14:textId="77777777" w:rsidR="00382621" w:rsidRPr="00382621" w:rsidRDefault="00382621" w:rsidP="00382621">
      <w:r w:rsidRPr="00382621">
        <w:t xml:space="preserve">(A) Double staining of Tomato fluorescence with GLYT2 mRNA indicated about half of the </w:t>
      </w:r>
      <w:proofErr w:type="spellStart"/>
      <w:r w:rsidRPr="00382621">
        <w:t>ChAT</w:t>
      </w:r>
      <w:proofErr w:type="spellEnd"/>
      <w:r w:rsidRPr="00382621">
        <w:t xml:space="preserve"> lineage neurons (12/25) are glycinergic inhibitory neurons.</w:t>
      </w:r>
    </w:p>
    <w:p w14:paraId="15794B5E" w14:textId="77777777" w:rsidR="00382621" w:rsidRPr="00382621" w:rsidRDefault="00382621" w:rsidP="00382621">
      <w:r w:rsidRPr="00382621">
        <w:t xml:space="preserve">(B) Representative imaging of Tomato fluorescence showing loss of </w:t>
      </w:r>
      <w:proofErr w:type="spellStart"/>
      <w:r w:rsidRPr="00382621">
        <w:t>ChAT</w:t>
      </w:r>
      <w:proofErr w:type="spellEnd"/>
      <w:r w:rsidRPr="00382621">
        <w:t>-Tomato</w:t>
      </w:r>
      <w:r w:rsidRPr="00382621">
        <w:rPr>
          <w:vertAlign w:val="superscript"/>
        </w:rPr>
        <w:t>+</w:t>
      </w:r>
      <w:r w:rsidRPr="00382621">
        <w:t xml:space="preserve"> neurons in dorsal horn of </w:t>
      </w:r>
      <w:proofErr w:type="spellStart"/>
      <w:r w:rsidRPr="00382621">
        <w:t>ChAT</w:t>
      </w:r>
      <w:proofErr w:type="spellEnd"/>
      <w:r w:rsidRPr="00382621">
        <w:t xml:space="preserve"> neuron-ablated mice.</w:t>
      </w:r>
    </w:p>
    <w:p w14:paraId="694D15E2" w14:textId="77777777" w:rsidR="00382621" w:rsidRPr="00382621" w:rsidRDefault="00382621" w:rsidP="00382621">
      <w:r w:rsidRPr="00382621">
        <w:t xml:space="preserve">(C) The rotarod assay. </w:t>
      </w:r>
      <w:proofErr w:type="spellStart"/>
      <w:r w:rsidRPr="00382621">
        <w:t>ChAT</w:t>
      </w:r>
      <w:proofErr w:type="spellEnd"/>
      <w:r w:rsidRPr="00382621">
        <w:t xml:space="preserve"> neuron-ablated (“</w:t>
      </w:r>
      <w:proofErr w:type="spellStart"/>
      <w:r w:rsidRPr="00382621">
        <w:t>Abl</w:t>
      </w:r>
      <w:proofErr w:type="spellEnd"/>
      <w:r w:rsidRPr="00382621">
        <w:t xml:space="preserve">”) mice and control (“Ctrl”) mice showed no difference in falling latencies (n = 4 in Ctrl group, n = 5 in </w:t>
      </w:r>
      <w:proofErr w:type="spellStart"/>
      <w:r w:rsidRPr="00382621">
        <w:t>Abl</w:t>
      </w:r>
      <w:proofErr w:type="spellEnd"/>
      <w:r w:rsidRPr="00382621">
        <w:t xml:space="preserve"> group; p &gt; 0.05, Student’s unpaired t test).</w:t>
      </w:r>
    </w:p>
    <w:p w14:paraId="4D4D7CE8" w14:textId="77777777" w:rsidR="00382621" w:rsidRPr="00382621" w:rsidRDefault="00382621" w:rsidP="00382621">
      <w:r w:rsidRPr="00382621">
        <w:t xml:space="preserve">(D) Touch sensation: Ctrl and </w:t>
      </w:r>
      <w:proofErr w:type="spellStart"/>
      <w:r w:rsidRPr="00382621">
        <w:t>Abl</w:t>
      </w:r>
      <w:proofErr w:type="spellEnd"/>
      <w:r w:rsidRPr="00382621">
        <w:t xml:space="preserve"> mice did no differ in light touch test (n = 6 in Ctrl group, n = 6 in </w:t>
      </w:r>
      <w:proofErr w:type="spellStart"/>
      <w:r w:rsidRPr="00382621">
        <w:t>Abl</w:t>
      </w:r>
      <w:proofErr w:type="spellEnd"/>
      <w:r w:rsidRPr="00382621">
        <w:t xml:space="preserve"> group; p &gt; 0.05, Student’s unpaired t test).</w:t>
      </w:r>
    </w:p>
    <w:p w14:paraId="30BDA926" w14:textId="77777777" w:rsidR="00382621" w:rsidRPr="00382621" w:rsidRDefault="00382621" w:rsidP="00382621">
      <w:r w:rsidRPr="00382621">
        <w:t xml:space="preserve">(E) Ctrl and </w:t>
      </w:r>
      <w:proofErr w:type="spellStart"/>
      <w:r w:rsidRPr="00382621">
        <w:t>Abl</w:t>
      </w:r>
      <w:proofErr w:type="spellEnd"/>
      <w:r w:rsidRPr="00382621">
        <w:t xml:space="preserve"> mice did no differ in von Frey test by up-down method (n = 6 in Ctrl group, n = 6 in </w:t>
      </w:r>
      <w:proofErr w:type="spellStart"/>
      <w:r w:rsidRPr="00382621">
        <w:t>Abl</w:t>
      </w:r>
      <w:proofErr w:type="spellEnd"/>
      <w:r w:rsidRPr="00382621">
        <w:t xml:space="preserve"> group; p &gt; 0.05, Student’s unpaired t test).</w:t>
      </w:r>
    </w:p>
    <w:p w14:paraId="770EDA9D" w14:textId="77777777" w:rsidR="00382621" w:rsidRPr="00382621" w:rsidRDefault="00382621" w:rsidP="00382621">
      <w:r w:rsidRPr="00382621">
        <w:t xml:space="preserve">(F) Cooling sensation tested by </w:t>
      </w:r>
      <w:proofErr w:type="spellStart"/>
      <w:r w:rsidRPr="00382621">
        <w:t>hindpaw</w:t>
      </w:r>
      <w:proofErr w:type="spellEnd"/>
      <w:r w:rsidRPr="00382621">
        <w:t xml:space="preserve"> exposure to acetone. Ctrl and </w:t>
      </w:r>
      <w:proofErr w:type="spellStart"/>
      <w:r w:rsidRPr="00382621">
        <w:t>Abl</w:t>
      </w:r>
      <w:proofErr w:type="spellEnd"/>
      <w:r w:rsidRPr="00382621">
        <w:t xml:space="preserve"> mice showed comparable response scores (n = 11 in Ctrl group, n = 10 in </w:t>
      </w:r>
      <w:proofErr w:type="spellStart"/>
      <w:r w:rsidRPr="00382621">
        <w:t>Abl</w:t>
      </w:r>
      <w:proofErr w:type="spellEnd"/>
      <w:r w:rsidRPr="00382621">
        <w:t xml:space="preserve"> group; p &gt; 0.05, Student’s </w:t>
      </w:r>
      <w:r w:rsidRPr="00382621">
        <w:lastRenderedPageBreak/>
        <w:t>unpaired t test).</w:t>
      </w:r>
    </w:p>
    <w:p w14:paraId="0FE5A1A3" w14:textId="77777777" w:rsidR="00382621" w:rsidRPr="00382621" w:rsidRDefault="00382621" w:rsidP="00382621">
      <w:r w:rsidRPr="00382621">
        <w:t xml:space="preserve">(G) Cold pain tested by cold plate. Ctrl and </w:t>
      </w:r>
      <w:proofErr w:type="spellStart"/>
      <w:r w:rsidRPr="00382621">
        <w:t>Abl</w:t>
      </w:r>
      <w:proofErr w:type="spellEnd"/>
      <w:r w:rsidRPr="00382621">
        <w:t xml:space="preserve"> mice had no difference in latencies of forepaw flinching or </w:t>
      </w:r>
      <w:proofErr w:type="spellStart"/>
      <w:r w:rsidRPr="00382621">
        <w:t>hindpaw</w:t>
      </w:r>
      <w:proofErr w:type="spellEnd"/>
      <w:r w:rsidRPr="00382621">
        <w:t xml:space="preserve"> licking (n = 11 in Ctrl group, n = 10 in </w:t>
      </w:r>
      <w:proofErr w:type="spellStart"/>
      <w:r w:rsidRPr="00382621">
        <w:t>Abl</w:t>
      </w:r>
      <w:proofErr w:type="spellEnd"/>
      <w:r w:rsidRPr="00382621">
        <w:t xml:space="preserve"> group; p &gt; 0.05, Student’s unpaired t test).</w:t>
      </w:r>
    </w:p>
    <w:p w14:paraId="7776B391" w14:textId="77777777" w:rsidR="00382621" w:rsidRPr="00382621" w:rsidRDefault="00382621" w:rsidP="00382621">
      <w:r w:rsidRPr="00382621">
        <w:t xml:space="preserve">(H) Thermal pain tested by the Hargreaves test. Ctrl and </w:t>
      </w:r>
      <w:proofErr w:type="spellStart"/>
      <w:r w:rsidRPr="00382621">
        <w:t>Abl</w:t>
      </w:r>
      <w:proofErr w:type="spellEnd"/>
      <w:r w:rsidRPr="00382621">
        <w:t xml:space="preserve"> mice had no difference (n = 6 in Ctrl group, n = 6 in Ablated group; p &gt; 0.05, Student’s unpaired t test).</w:t>
      </w:r>
    </w:p>
    <w:p w14:paraId="1FD3BB36" w14:textId="77777777" w:rsidR="00382621" w:rsidRPr="00382621" w:rsidRDefault="00382621" w:rsidP="00382621">
      <w:r w:rsidRPr="00382621">
        <w:t xml:space="preserve">(I) Thermal pain tested by hot plate. Ctrl and </w:t>
      </w:r>
      <w:proofErr w:type="spellStart"/>
      <w:r w:rsidRPr="00382621">
        <w:t>Abl</w:t>
      </w:r>
      <w:proofErr w:type="spellEnd"/>
      <w:r w:rsidRPr="00382621">
        <w:t xml:space="preserve"> mice had no difference (n = 11 in Ctrl group, n = 10 in Ablated group; p &gt; 0.05, Student’s Unpaired t test). Thus, ablation of the </w:t>
      </w:r>
      <w:proofErr w:type="spellStart"/>
      <w:r w:rsidRPr="00382621">
        <w:t>ChAT</w:t>
      </w:r>
      <w:proofErr w:type="spellEnd"/>
      <w:r w:rsidRPr="00382621">
        <w:t xml:space="preserve"> lineage inhibitory neurons does not affect mechanical or thermal sensitivity, in contrast to spontaneous development of mechanical allodynia in </w:t>
      </w:r>
      <w:proofErr w:type="spellStart"/>
      <w:r w:rsidRPr="00382621">
        <w:t>Dyn</w:t>
      </w:r>
      <w:proofErr w:type="spellEnd"/>
      <w:r w:rsidRPr="00382621">
        <w:t xml:space="preserve"> </w:t>
      </w:r>
      <w:proofErr w:type="spellStart"/>
      <w:r w:rsidRPr="00382621">
        <w:t>abl</w:t>
      </w:r>
      <w:proofErr w:type="spellEnd"/>
      <w:r w:rsidRPr="00382621">
        <w:t xml:space="preserve"> mice. Data are represented as mean ± SEM.</w:t>
      </w:r>
    </w:p>
    <w:p w14:paraId="58F8E55F" w14:textId="77777777" w:rsidR="00382621" w:rsidRDefault="00382621" w:rsidP="0014053A"/>
    <w:p w14:paraId="0B34B188" w14:textId="74F68614" w:rsidR="00382621" w:rsidRDefault="00382621" w:rsidP="0014053A">
      <w:r>
        <w:rPr>
          <w:rFonts w:hint="eastAsia"/>
          <w:noProof/>
        </w:rPr>
        <w:drawing>
          <wp:inline distT="0" distB="0" distL="0" distR="0" wp14:anchorId="21A427DC" wp14:editId="75BF9C49">
            <wp:extent cx="4052455" cy="5045399"/>
            <wp:effectExtent l="0" t="0" r="5715" b="3175"/>
            <wp:docPr id="170157357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059083" cy="5053651"/>
                    </a:xfrm>
                    <a:prstGeom prst="rect">
                      <a:avLst/>
                    </a:prstGeom>
                    <a:noFill/>
                  </pic:spPr>
                </pic:pic>
              </a:graphicData>
            </a:graphic>
          </wp:inline>
        </w:drawing>
      </w:r>
    </w:p>
    <w:p w14:paraId="3F721110" w14:textId="77777777" w:rsidR="00382621" w:rsidRPr="00382621" w:rsidRDefault="00382621" w:rsidP="00382621">
      <w:r w:rsidRPr="00382621">
        <w:t xml:space="preserve">Characterization of </w:t>
      </w:r>
      <w:proofErr w:type="spellStart"/>
      <w:r w:rsidRPr="00382621">
        <w:t>Dyn</w:t>
      </w:r>
      <w:proofErr w:type="spellEnd"/>
      <w:r w:rsidRPr="00382621">
        <w:t>-Tomato</w:t>
      </w:r>
      <w:r w:rsidRPr="00382621">
        <w:rPr>
          <w:vertAlign w:val="superscript"/>
        </w:rPr>
        <w:t>+</w:t>
      </w:r>
      <w:r w:rsidRPr="00382621">
        <w:t xml:space="preserve"> Neurons and Normal Thermal and Itch Behaviors in </w:t>
      </w:r>
      <w:proofErr w:type="spellStart"/>
      <w:r w:rsidRPr="00382621">
        <w:t>Dyn</w:t>
      </w:r>
      <w:proofErr w:type="spellEnd"/>
      <w:r w:rsidRPr="00382621">
        <w:t xml:space="preserve"> </w:t>
      </w:r>
      <w:proofErr w:type="spellStart"/>
      <w:r w:rsidRPr="00382621">
        <w:t>Abl</w:t>
      </w:r>
      <w:proofErr w:type="spellEnd"/>
      <w:r w:rsidRPr="00382621">
        <w:t xml:space="preserve"> Mice, Related to </w:t>
      </w:r>
      <w:hyperlink r:id="rId154" w:anchor="fig5" w:history="1">
        <w:r w:rsidRPr="00382621">
          <w:rPr>
            <w:rStyle w:val="a7"/>
          </w:rPr>
          <w:t>Figure 5</w:t>
        </w:r>
      </w:hyperlink>
    </w:p>
    <w:p w14:paraId="160575B9" w14:textId="77777777" w:rsidR="00382621" w:rsidRPr="00382621" w:rsidRDefault="00382621" w:rsidP="00382621">
      <w:r w:rsidRPr="00382621">
        <w:t xml:space="preserve">(A) Summary of firing patterns of </w:t>
      </w:r>
      <w:proofErr w:type="spellStart"/>
      <w:r w:rsidRPr="00382621">
        <w:t>Dyn</w:t>
      </w:r>
      <w:proofErr w:type="spellEnd"/>
      <w:r w:rsidRPr="00382621">
        <w:t>-Tomato</w:t>
      </w:r>
      <w:r w:rsidRPr="00382621">
        <w:rPr>
          <w:vertAlign w:val="superscript"/>
        </w:rPr>
        <w:t>+</w:t>
      </w:r>
      <w:r w:rsidRPr="00382621">
        <w:t xml:space="preserve"> neurons in spinal dorsal horn. Action potential firing patterns upon current injection were determined from a holding membrane potential around </w:t>
      </w:r>
      <w:r w:rsidRPr="00382621">
        <w:rPr>
          <w:rFonts w:ascii="微软雅黑" w:eastAsia="微软雅黑" w:hAnsi="微软雅黑" w:cs="微软雅黑" w:hint="eastAsia"/>
        </w:rPr>
        <w:t>−</w:t>
      </w:r>
      <w:r w:rsidRPr="00382621">
        <w:t>85</w:t>
      </w:r>
      <w:r w:rsidRPr="00382621">
        <w:rPr>
          <w:rFonts w:ascii="等线" w:eastAsia="等线" w:hAnsi="等线" w:cs="等线" w:hint="eastAsia"/>
        </w:rPr>
        <w:t> </w:t>
      </w:r>
      <w:r w:rsidRPr="00382621">
        <w:t>mV.</w:t>
      </w:r>
    </w:p>
    <w:p w14:paraId="6A81E4B0" w14:textId="77777777" w:rsidR="00382621" w:rsidRPr="00382621" w:rsidRDefault="00382621" w:rsidP="00382621">
      <w:r w:rsidRPr="00382621">
        <w:lastRenderedPageBreak/>
        <w:t xml:space="preserve">(B) Loss of </w:t>
      </w:r>
      <w:proofErr w:type="spellStart"/>
      <w:r w:rsidRPr="00382621">
        <w:t>Dyn</w:t>
      </w:r>
      <w:proofErr w:type="spellEnd"/>
      <w:r w:rsidRPr="00382621">
        <w:t>-Tomato</w:t>
      </w:r>
      <w:r w:rsidRPr="00382621">
        <w:rPr>
          <w:vertAlign w:val="superscript"/>
        </w:rPr>
        <w:t>+</w:t>
      </w:r>
      <w:r w:rsidRPr="00382621">
        <w:t xml:space="preserve"> neurons in the Sp5 (arrows) in </w:t>
      </w:r>
      <w:proofErr w:type="spellStart"/>
      <w:r w:rsidRPr="00382621">
        <w:t>Dyn</w:t>
      </w:r>
      <w:proofErr w:type="spellEnd"/>
      <w:r w:rsidRPr="00382621">
        <w:t xml:space="preserve"> neuron-ablated mice, but not in PAG, the striatum or the anterior cingulate cortex (“ACC”).</w:t>
      </w:r>
    </w:p>
    <w:p w14:paraId="142F33C5" w14:textId="77777777" w:rsidR="00382621" w:rsidRPr="00382621" w:rsidRDefault="00382621" w:rsidP="00382621">
      <w:r w:rsidRPr="00382621">
        <w:t>(C) Staining of the </w:t>
      </w:r>
      <w:hyperlink r:id="rId155" w:tooltip="Learn more about VGLUT1 from ScienceDirect's AI-generated Topic Pages" w:history="1">
        <w:r w:rsidRPr="00382621">
          <w:rPr>
            <w:rStyle w:val="a7"/>
          </w:rPr>
          <w:t>VGLUT1</w:t>
        </w:r>
      </w:hyperlink>
      <w:r w:rsidRPr="00382621">
        <w:t xml:space="preserve"> protein in dorsal spinal cord in control and </w:t>
      </w:r>
      <w:proofErr w:type="spellStart"/>
      <w:r w:rsidRPr="00382621">
        <w:t>Dyn</w:t>
      </w:r>
      <w:proofErr w:type="spellEnd"/>
      <w:r w:rsidRPr="00382621">
        <w:t xml:space="preserve"> neuron-ablated mice shows no obvious sprouting of </w:t>
      </w:r>
      <w:hyperlink r:id="rId156" w:tooltip="Learn more about VGLUT1 from ScienceDirect's AI-generated Topic Pages" w:history="1">
        <w:r w:rsidRPr="00382621">
          <w:rPr>
            <w:rStyle w:val="a7"/>
          </w:rPr>
          <w:t>VGLUT1</w:t>
        </w:r>
      </w:hyperlink>
      <w:r w:rsidRPr="00382621">
        <w:rPr>
          <w:vertAlign w:val="superscript"/>
        </w:rPr>
        <w:t>+</w:t>
      </w:r>
      <w:r w:rsidRPr="00382621">
        <w:t> primary afferent terminals to laminae I and II.</w:t>
      </w:r>
    </w:p>
    <w:p w14:paraId="71E1BB65" w14:textId="77777777" w:rsidR="00382621" w:rsidRPr="00382621" w:rsidRDefault="00382621" w:rsidP="00382621">
      <w:r w:rsidRPr="00382621">
        <w:t xml:space="preserve">(D–F) No difference in the Hargreaves (D), hot plate (E), and cold plate (F) assays [n = 12 in control (“Ctrl”) group, n = 8 in </w:t>
      </w:r>
      <w:proofErr w:type="spellStart"/>
      <w:r w:rsidRPr="00382621">
        <w:t>Dyn</w:t>
      </w:r>
      <w:proofErr w:type="spellEnd"/>
      <w:r w:rsidRPr="00382621">
        <w:t xml:space="preserve"> neuron-ablated (“</w:t>
      </w:r>
      <w:proofErr w:type="spellStart"/>
      <w:r w:rsidRPr="00382621">
        <w:t>Abl</w:t>
      </w:r>
      <w:proofErr w:type="spellEnd"/>
      <w:r w:rsidRPr="00382621">
        <w:t>”) group; p &gt; 0.05, Student’s unpaired t test].</w:t>
      </w:r>
    </w:p>
    <w:p w14:paraId="7BDEFFAF" w14:textId="77777777" w:rsidR="00382621" w:rsidRPr="00382621" w:rsidRDefault="00382621" w:rsidP="00382621">
      <w:r w:rsidRPr="00382621">
        <w:t xml:space="preserve">(G) No difference in behavioral responses to acetone-evoked cooling (n = 9 in Ctrl group, n = 6 in </w:t>
      </w:r>
      <w:proofErr w:type="spellStart"/>
      <w:r w:rsidRPr="00382621">
        <w:t>Abl</w:t>
      </w:r>
      <w:proofErr w:type="spellEnd"/>
      <w:r w:rsidRPr="00382621">
        <w:t xml:space="preserve"> group; p &gt; 0.05, Student’s unpaired t test).</w:t>
      </w:r>
    </w:p>
    <w:p w14:paraId="3503CF4A" w14:textId="77777777" w:rsidR="00382621" w:rsidRPr="00382621" w:rsidRDefault="00382621" w:rsidP="00382621">
      <w:r w:rsidRPr="00382621">
        <w:t>(H) Itch test by nape injection of 48/80 (100 </w:t>
      </w:r>
      <w:proofErr w:type="spellStart"/>
      <w:r w:rsidRPr="00382621">
        <w:t>μg</w:t>
      </w:r>
      <w:proofErr w:type="spellEnd"/>
      <w:r w:rsidRPr="00382621">
        <w:t xml:space="preserve">). Ctrl and </w:t>
      </w:r>
      <w:proofErr w:type="spellStart"/>
      <w:r w:rsidRPr="00382621">
        <w:t>Abl</w:t>
      </w:r>
      <w:proofErr w:type="spellEnd"/>
      <w:r w:rsidRPr="00382621">
        <w:t xml:space="preserve"> mice had no difference in evoked scratching bouts (n = 9 in Ctrl group, n = 6 in </w:t>
      </w:r>
      <w:proofErr w:type="spellStart"/>
      <w:r w:rsidRPr="00382621">
        <w:t>Abl</w:t>
      </w:r>
      <w:proofErr w:type="spellEnd"/>
      <w:r w:rsidRPr="00382621">
        <w:t xml:space="preserve"> group; p &gt; 0.05, Student’s unpaired t test).</w:t>
      </w:r>
    </w:p>
    <w:p w14:paraId="6E342751" w14:textId="77777777" w:rsidR="00382621" w:rsidRPr="00382621" w:rsidRDefault="00382621" w:rsidP="00382621">
      <w:r w:rsidRPr="00382621">
        <w:t>(I) Itch test by nape injection of </w:t>
      </w:r>
      <w:hyperlink r:id="rId157" w:tooltip="Learn more about chloroquine from ScienceDirect's AI-generated Topic Pages" w:history="1">
        <w:r w:rsidRPr="00382621">
          <w:rPr>
            <w:rStyle w:val="a7"/>
          </w:rPr>
          <w:t>chloroquine</w:t>
        </w:r>
      </w:hyperlink>
      <w:r w:rsidRPr="00382621">
        <w:t> (200 </w:t>
      </w:r>
      <w:proofErr w:type="spellStart"/>
      <w:r w:rsidRPr="00382621">
        <w:t>μg</w:t>
      </w:r>
      <w:proofErr w:type="spellEnd"/>
      <w:r w:rsidRPr="00382621">
        <w:t xml:space="preserve">). Ctrl and </w:t>
      </w:r>
      <w:proofErr w:type="spellStart"/>
      <w:r w:rsidRPr="00382621">
        <w:t>Abl</w:t>
      </w:r>
      <w:proofErr w:type="spellEnd"/>
      <w:r w:rsidRPr="00382621">
        <w:t xml:space="preserve"> mice had no difference in evoked scratching bouts (n = 7 in Ctrl group, n = 6 in Ablated group; p &gt; 0.05, Student’s unpaired t test).</w:t>
      </w:r>
    </w:p>
    <w:p w14:paraId="61D53BAB" w14:textId="77777777" w:rsidR="00382621" w:rsidRPr="00382621" w:rsidRDefault="00382621" w:rsidP="00382621">
      <w:r w:rsidRPr="00382621">
        <w:t>(J) Itch test by nape injection of PAR2 </w:t>
      </w:r>
      <w:hyperlink r:id="rId158" w:tooltip="Learn more about agonist from ScienceDirect's AI-generated Topic Pages" w:history="1">
        <w:r w:rsidRPr="00382621">
          <w:rPr>
            <w:rStyle w:val="a7"/>
          </w:rPr>
          <w:t>agonist</w:t>
        </w:r>
      </w:hyperlink>
      <w:r w:rsidRPr="00382621">
        <w:t> SLIGRL (100 </w:t>
      </w:r>
      <w:proofErr w:type="spellStart"/>
      <w:r w:rsidRPr="00382621">
        <w:t>μg</w:t>
      </w:r>
      <w:proofErr w:type="spellEnd"/>
      <w:r w:rsidRPr="00382621">
        <w:t xml:space="preserve">). Ctrl and </w:t>
      </w:r>
      <w:proofErr w:type="spellStart"/>
      <w:r w:rsidRPr="00382621">
        <w:t>Abl</w:t>
      </w:r>
      <w:proofErr w:type="spellEnd"/>
      <w:r w:rsidRPr="00382621">
        <w:t xml:space="preserve"> mice had no difference in evoked scratching bouts (n = 9 in Ctrl group, n = 6 in Ablated group; p &gt; 0.05, Student’s unpaired t test).</w:t>
      </w:r>
    </w:p>
    <w:p w14:paraId="4C5F0907" w14:textId="77777777" w:rsidR="00382621" w:rsidRPr="00382621" w:rsidRDefault="00382621" w:rsidP="00382621">
      <w:r w:rsidRPr="00382621">
        <w:t xml:space="preserve">(K) The lack of itch sensitization in </w:t>
      </w:r>
      <w:proofErr w:type="spellStart"/>
      <w:r w:rsidRPr="00382621">
        <w:t>Dyn</w:t>
      </w:r>
      <w:proofErr w:type="spellEnd"/>
      <w:r w:rsidRPr="00382621">
        <w:t xml:space="preserve"> </w:t>
      </w:r>
      <w:proofErr w:type="spellStart"/>
      <w:r w:rsidRPr="00382621">
        <w:t>Abl</w:t>
      </w:r>
      <w:proofErr w:type="spellEnd"/>
      <w:r w:rsidRPr="00382621">
        <w:t xml:space="preserve"> mice raised a question on a recent report, showing that spinal inhibitory neurons whose development depends on </w:t>
      </w:r>
      <w:r w:rsidRPr="00382621">
        <w:rPr>
          <w:i/>
          <w:iCs/>
        </w:rPr>
        <w:t>Bhlhb5</w:t>
      </w:r>
      <w:r w:rsidRPr="00382621">
        <w:t> are involved with itch inhibition, but not pain inhibition (</w:t>
      </w:r>
      <w:bookmarkStart w:id="13" w:name="bbib77"/>
      <w:r w:rsidRPr="00382621">
        <w:fldChar w:fldCharType="begin"/>
      </w:r>
      <w:r w:rsidRPr="00382621">
        <w:instrText>HYPERLINK "https://www.sciencedirect.com/science/article/pii/S0092867414014342" \l "bib77"</w:instrText>
      </w:r>
      <w:r w:rsidRPr="00382621">
        <w:fldChar w:fldCharType="separate"/>
      </w:r>
      <w:r w:rsidRPr="00382621">
        <w:rPr>
          <w:rStyle w:val="a7"/>
        </w:rPr>
        <w:t>Ross et al., 2010</w:t>
      </w:r>
      <w:r w:rsidRPr="00382621">
        <w:fldChar w:fldCharType="end"/>
      </w:r>
      <w:bookmarkEnd w:id="13"/>
      <w:r w:rsidRPr="00382621">
        <w:t>), and in particular, among </w:t>
      </w:r>
      <w:r w:rsidRPr="00382621">
        <w:rPr>
          <w:i/>
          <w:iCs/>
        </w:rPr>
        <w:t>Bhlhb5</w:t>
      </w:r>
      <w:r w:rsidRPr="00382621">
        <w:t xml:space="preserve">-dependent neurons, </w:t>
      </w:r>
      <w:proofErr w:type="spellStart"/>
      <w:r w:rsidRPr="00382621">
        <w:t>Dyn</w:t>
      </w:r>
      <w:proofErr w:type="spellEnd"/>
      <w:r w:rsidRPr="00382621">
        <w:rPr>
          <w:vertAlign w:val="superscript"/>
        </w:rPr>
        <w:t>+</w:t>
      </w:r>
      <w:r w:rsidRPr="00382621">
        <w:t> inhibitory neurons were proposed to be critical for itch inhibition (</w:t>
      </w:r>
      <w:bookmarkStart w:id="14" w:name="bbib74"/>
      <w:r w:rsidRPr="00382621">
        <w:fldChar w:fldCharType="begin"/>
      </w:r>
      <w:r w:rsidRPr="00382621">
        <w:instrText>HYPERLINK "https://www.sciencedirect.com/science/article/pii/S0092867414014342" \l "bib74"</w:instrText>
      </w:r>
      <w:r w:rsidRPr="00382621">
        <w:fldChar w:fldCharType="separate"/>
      </w:r>
      <w:r w:rsidRPr="00382621">
        <w:rPr>
          <w:rStyle w:val="a7"/>
        </w:rPr>
        <w:t>Kardon et al., 2014</w:t>
      </w:r>
      <w:r w:rsidRPr="00382621">
        <w:fldChar w:fldCharType="end"/>
      </w:r>
      <w:r w:rsidRPr="00382621">
        <w:t>). To address this controversy, we first examined if some </w:t>
      </w:r>
      <w:r w:rsidRPr="00382621">
        <w:rPr>
          <w:i/>
          <w:iCs/>
        </w:rPr>
        <w:t>Bhlhb5</w:t>
      </w:r>
      <w:r w:rsidRPr="00382621">
        <w:t xml:space="preserve">-dependent inhibitory neurons were unaffected in </w:t>
      </w:r>
      <w:proofErr w:type="spellStart"/>
      <w:r w:rsidRPr="00382621">
        <w:t>Dyn</w:t>
      </w:r>
      <w:proofErr w:type="spellEnd"/>
      <w:r w:rsidRPr="00382621">
        <w:t xml:space="preserve"> </w:t>
      </w:r>
      <w:proofErr w:type="spellStart"/>
      <w:r w:rsidRPr="00382621">
        <w:t>Abl</w:t>
      </w:r>
      <w:proofErr w:type="spellEnd"/>
      <w:r w:rsidRPr="00382621">
        <w:t xml:space="preserve"> mice. We indeed found that the numbers of </w:t>
      </w:r>
      <w:proofErr w:type="spellStart"/>
      <w:r w:rsidRPr="00382621">
        <w:t>nNOS</w:t>
      </w:r>
      <w:proofErr w:type="spellEnd"/>
      <w:r w:rsidRPr="00382621">
        <w:rPr>
          <w:vertAlign w:val="superscript"/>
        </w:rPr>
        <w:t>+</w:t>
      </w:r>
      <w:r w:rsidRPr="00382621">
        <w:t> neurons (detected by immunostaining) and </w:t>
      </w:r>
      <w:hyperlink r:id="rId159" w:tooltip="Learn more about Galanin from ScienceDirect's AI-generated Topic Pages" w:history="1">
        <w:r w:rsidRPr="00382621">
          <w:rPr>
            <w:rStyle w:val="a7"/>
          </w:rPr>
          <w:t>Galanin</w:t>
        </w:r>
      </w:hyperlink>
      <w:r w:rsidRPr="00382621">
        <w:rPr>
          <w:vertAlign w:val="superscript"/>
        </w:rPr>
        <w:t>+</w:t>
      </w:r>
      <w:r w:rsidRPr="00382621">
        <w:t> (“Gal</w:t>
      </w:r>
      <w:r w:rsidRPr="00382621">
        <w:rPr>
          <w:vertAlign w:val="superscript"/>
        </w:rPr>
        <w:t>+</w:t>
      </w:r>
      <w:r w:rsidRPr="00382621">
        <w:t xml:space="preserve">”) neurons (detected by in situ hybridization) in lumbar spinal sections were only reduced by 40% and 60%, respectively, in </w:t>
      </w:r>
      <w:proofErr w:type="spellStart"/>
      <w:r w:rsidRPr="00382621">
        <w:t>Dyn</w:t>
      </w:r>
      <w:proofErr w:type="spellEnd"/>
      <w:r w:rsidRPr="00382621">
        <w:t xml:space="preserve"> </w:t>
      </w:r>
      <w:proofErr w:type="spellStart"/>
      <w:r w:rsidRPr="00382621">
        <w:t>Abl</w:t>
      </w:r>
      <w:proofErr w:type="spellEnd"/>
      <w:r w:rsidRPr="00382621">
        <w:t xml:space="preserve"> mice in comparison with control littermates (n = 12–13 </w:t>
      </w:r>
      <w:proofErr w:type="spellStart"/>
      <w:r w:rsidRPr="00382621">
        <w:t>hemisections</w:t>
      </w:r>
      <w:proofErr w:type="spellEnd"/>
      <w:r w:rsidRPr="00382621">
        <w:t xml:space="preserve"> from 2 mice in each group; </w:t>
      </w:r>
      <w:r w:rsidRPr="00382621">
        <w:rPr>
          <w:rFonts w:ascii="MS Gothic" w:eastAsia="MS Gothic" w:hAnsi="MS Gothic" w:cs="MS Gothic" w:hint="eastAsia"/>
          <w:vertAlign w:val="superscript"/>
        </w:rPr>
        <w:t>∗∗∗</w:t>
      </w:r>
      <w:r w:rsidRPr="00382621">
        <w:t>p &lt; 0.001, Student</w:t>
      </w:r>
      <w:proofErr w:type="gramStart"/>
      <w:r w:rsidRPr="00382621">
        <w:t>’</w:t>
      </w:r>
      <w:proofErr w:type="gramEnd"/>
      <w:r w:rsidRPr="00382621">
        <w:t>s unpaired t test). These </w:t>
      </w:r>
      <w:r w:rsidRPr="00382621">
        <w:rPr>
          <w:i/>
          <w:iCs/>
        </w:rPr>
        <w:t>Bhlhb5</w:t>
      </w:r>
      <w:r w:rsidRPr="00382621">
        <w:t xml:space="preserve">-dependent inhibitory neurons that are not ablated in </w:t>
      </w:r>
      <w:proofErr w:type="spellStart"/>
      <w:r w:rsidRPr="00382621">
        <w:t>Dyn</w:t>
      </w:r>
      <w:proofErr w:type="spellEnd"/>
      <w:r w:rsidRPr="00382621">
        <w:t xml:space="preserve"> </w:t>
      </w:r>
      <w:proofErr w:type="spellStart"/>
      <w:r w:rsidRPr="00382621">
        <w:t>Abl</w:t>
      </w:r>
      <w:proofErr w:type="spellEnd"/>
      <w:r w:rsidRPr="00382621">
        <w:t xml:space="preserve"> mice, including 60% and 40% of </w:t>
      </w:r>
      <w:proofErr w:type="spellStart"/>
      <w:r w:rsidRPr="00382621">
        <w:t>nNOS</w:t>
      </w:r>
      <w:proofErr w:type="spellEnd"/>
      <w:r w:rsidRPr="00382621">
        <w:rPr>
          <w:vertAlign w:val="superscript"/>
        </w:rPr>
        <w:t>+</w:t>
      </w:r>
      <w:r w:rsidRPr="00382621">
        <w:t> and Gal</w:t>
      </w:r>
      <w:r w:rsidRPr="00382621">
        <w:rPr>
          <w:vertAlign w:val="superscript"/>
        </w:rPr>
        <w:t>+</w:t>
      </w:r>
      <w:r w:rsidRPr="00382621">
        <w:t> neurons, respectively, could be involved in itch inhibition.</w:t>
      </w:r>
    </w:p>
    <w:p w14:paraId="74EA3FAF" w14:textId="77777777" w:rsidR="00382621" w:rsidRPr="00382621" w:rsidRDefault="00382621" w:rsidP="00382621">
      <w:r w:rsidRPr="00382621">
        <w:t>(L) To explain a lack of allodynia in </w:t>
      </w:r>
      <w:r w:rsidRPr="00382621">
        <w:rPr>
          <w:i/>
          <w:iCs/>
        </w:rPr>
        <w:t>Bhlhb5</w:t>
      </w:r>
      <w:r w:rsidRPr="00382621">
        <w:t> </w:t>
      </w:r>
      <w:hyperlink r:id="rId160" w:tooltip="Learn more about mutant mice from ScienceDirect's AI-generated Topic Pages" w:history="1">
        <w:r w:rsidRPr="00382621">
          <w:rPr>
            <w:rStyle w:val="a7"/>
          </w:rPr>
          <w:t>mutant mice</w:t>
        </w:r>
      </w:hyperlink>
      <w:r w:rsidRPr="00382621">
        <w:t xml:space="preserve">, we proposed that some </w:t>
      </w:r>
      <w:proofErr w:type="spellStart"/>
      <w:r w:rsidRPr="00382621">
        <w:t>Dyn</w:t>
      </w:r>
      <w:proofErr w:type="spellEnd"/>
      <w:r w:rsidRPr="00382621">
        <w:rPr>
          <w:vertAlign w:val="superscript"/>
        </w:rPr>
        <w:t>+</w:t>
      </w:r>
      <w:r w:rsidRPr="00382621">
        <w:t> neurons should not be affected in </w:t>
      </w:r>
      <w:r w:rsidRPr="00382621">
        <w:rPr>
          <w:i/>
          <w:iCs/>
        </w:rPr>
        <w:t>Bhlhb5</w:t>
      </w:r>
      <w:r w:rsidRPr="00382621">
        <w:t xml:space="preserve"> mutant mice. Indeed, we found that </w:t>
      </w:r>
      <w:proofErr w:type="spellStart"/>
      <w:r w:rsidRPr="00382621">
        <w:t>Dyn</w:t>
      </w:r>
      <w:proofErr w:type="spellEnd"/>
      <w:r w:rsidRPr="00382621">
        <w:t xml:space="preserve"> mRNA</w:t>
      </w:r>
      <w:r w:rsidRPr="00382621">
        <w:rPr>
          <w:vertAlign w:val="superscript"/>
        </w:rPr>
        <w:t>+</w:t>
      </w:r>
      <w:r w:rsidRPr="00382621">
        <w:t> neurons (detected by in situ hybridization) were only reduced by 49% in P30 </w:t>
      </w:r>
      <w:r w:rsidRPr="00382621">
        <w:rPr>
          <w:i/>
          <w:iCs/>
        </w:rPr>
        <w:t>Bhlhb5</w:t>
      </w:r>
      <w:r w:rsidRPr="00382621">
        <w:t> (“</w:t>
      </w:r>
      <w:r w:rsidRPr="00382621">
        <w:rPr>
          <w:i/>
          <w:iCs/>
        </w:rPr>
        <w:t>B5</w:t>
      </w:r>
      <w:r w:rsidRPr="00382621">
        <w:t xml:space="preserve">”) CKO mice in comparison with control littermates (n = 25 </w:t>
      </w:r>
      <w:proofErr w:type="spellStart"/>
      <w:r w:rsidRPr="00382621">
        <w:t>hemisections</w:t>
      </w:r>
      <w:proofErr w:type="spellEnd"/>
      <w:r w:rsidRPr="00382621">
        <w:t xml:space="preserve"> from 3 mice in each group; </w:t>
      </w:r>
      <w:r w:rsidRPr="00382621">
        <w:rPr>
          <w:rFonts w:ascii="MS Gothic" w:eastAsia="MS Gothic" w:hAnsi="MS Gothic" w:cs="MS Gothic" w:hint="eastAsia"/>
          <w:vertAlign w:val="superscript"/>
        </w:rPr>
        <w:t>∗∗∗</w:t>
      </w:r>
      <w:r w:rsidRPr="00382621">
        <w:t>p &lt; 0.001, Student</w:t>
      </w:r>
      <w:proofErr w:type="gramStart"/>
      <w:r w:rsidRPr="00382621">
        <w:t>’</w:t>
      </w:r>
      <w:proofErr w:type="gramEnd"/>
      <w:r w:rsidRPr="00382621">
        <w:t xml:space="preserve">s unpaired t test), indicating that 51% of </w:t>
      </w:r>
      <w:proofErr w:type="spellStart"/>
      <w:r w:rsidRPr="00382621">
        <w:t>Dyn</w:t>
      </w:r>
      <w:proofErr w:type="spellEnd"/>
      <w:r w:rsidRPr="00382621">
        <w:t xml:space="preserve"> mRNA</w:t>
      </w:r>
      <w:r w:rsidRPr="00382621">
        <w:rPr>
          <w:vertAlign w:val="superscript"/>
        </w:rPr>
        <w:t>+</w:t>
      </w:r>
      <w:r w:rsidRPr="00382621">
        <w:t> neurons remains in </w:t>
      </w:r>
      <w:r w:rsidRPr="00382621">
        <w:rPr>
          <w:i/>
          <w:iCs/>
        </w:rPr>
        <w:t>Bhlhb5</w:t>
      </w:r>
      <w:r w:rsidRPr="00382621">
        <w:t xml:space="preserve"> deficient mice, and ablation of these inhibitory neurons could lead to allodynia seen </w:t>
      </w:r>
      <w:proofErr w:type="spellStart"/>
      <w:r w:rsidRPr="00382621">
        <w:t>Dyn</w:t>
      </w:r>
      <w:proofErr w:type="spellEnd"/>
      <w:r w:rsidRPr="00382621">
        <w:t xml:space="preserve"> </w:t>
      </w:r>
      <w:proofErr w:type="spellStart"/>
      <w:r w:rsidRPr="00382621">
        <w:t>Abl</w:t>
      </w:r>
      <w:proofErr w:type="spellEnd"/>
      <w:r w:rsidRPr="00382621">
        <w:t xml:space="preserve"> mice.</w:t>
      </w:r>
    </w:p>
    <w:p w14:paraId="599A1D3A" w14:textId="77777777" w:rsidR="00382621" w:rsidRPr="00382621" w:rsidRDefault="00382621" w:rsidP="00382621">
      <w:r w:rsidRPr="00382621">
        <w:t xml:space="preserve">(M) Schematic showing that Bhlhb5 (“B5”)-independent </w:t>
      </w:r>
      <w:proofErr w:type="spellStart"/>
      <w:r w:rsidRPr="00382621">
        <w:t>Dyn</w:t>
      </w:r>
      <w:proofErr w:type="spellEnd"/>
      <w:r w:rsidRPr="00382621">
        <w:t xml:space="preserve"> inhibitory neurons suppress mechanical allodynia, whereas </w:t>
      </w:r>
      <w:proofErr w:type="spellStart"/>
      <w:r w:rsidRPr="00382621">
        <w:t>Dyn</w:t>
      </w:r>
      <w:proofErr w:type="spellEnd"/>
      <w:r w:rsidRPr="00382621">
        <w:t>-negative </w:t>
      </w:r>
      <w:r w:rsidRPr="00382621">
        <w:rPr>
          <w:i/>
          <w:iCs/>
        </w:rPr>
        <w:t>Bhlhb5</w:t>
      </w:r>
      <w:r w:rsidRPr="00382621">
        <w:t xml:space="preserve">-dependent inhibitory neurons might suppress itch. The function of the Bhlhb5-dependent portion of </w:t>
      </w:r>
      <w:proofErr w:type="spellStart"/>
      <w:r w:rsidRPr="00382621">
        <w:t>Dyn</w:t>
      </w:r>
      <w:proofErr w:type="spellEnd"/>
      <w:r w:rsidRPr="00382621">
        <w:t xml:space="preserve"> lineage neurons remains unclear (“?”). However, our data do not rule out a possibility that the </w:t>
      </w:r>
      <w:r w:rsidRPr="00382621">
        <w:rPr>
          <w:i/>
          <w:iCs/>
        </w:rPr>
        <w:t>Bhlhb5</w:t>
      </w:r>
      <w:r w:rsidRPr="00382621">
        <w:t xml:space="preserve">-dependent portion of </w:t>
      </w:r>
      <w:proofErr w:type="spellStart"/>
      <w:r w:rsidRPr="00382621">
        <w:t>Dyn</w:t>
      </w:r>
      <w:proofErr w:type="spellEnd"/>
      <w:r w:rsidRPr="00382621">
        <w:t xml:space="preserve"> lineage neurons is involved with itch inhibition, as recently proposed (</w:t>
      </w:r>
      <w:hyperlink r:id="rId161" w:anchor="bib74" w:history="1">
        <w:r w:rsidRPr="00382621">
          <w:rPr>
            <w:rStyle w:val="a7"/>
          </w:rPr>
          <w:t>Kardon et al., 2014</w:t>
        </w:r>
      </w:hyperlink>
      <w:bookmarkEnd w:id="14"/>
      <w:r w:rsidRPr="00382621">
        <w:t xml:space="preserve">), but itch sensitization might not be able to develop upon concurrent loss of the Bhlhb5-independent portion of </w:t>
      </w:r>
      <w:proofErr w:type="spellStart"/>
      <w:r w:rsidRPr="00382621">
        <w:t>Dyn</w:t>
      </w:r>
      <w:proofErr w:type="spellEnd"/>
      <w:r w:rsidRPr="00382621">
        <w:t xml:space="preserve"> lineage inhibitory neurons, which leads to the development of spontaneous allodynia that might suppress itch. Furthermore, our data also </w:t>
      </w:r>
      <w:r w:rsidRPr="00382621">
        <w:lastRenderedPageBreak/>
        <w:t>do not rule out that itch sensitization might develop only when multiple populations of </w:t>
      </w:r>
      <w:r w:rsidRPr="00382621">
        <w:rPr>
          <w:i/>
          <w:iCs/>
        </w:rPr>
        <w:t>Bhlhb5</w:t>
      </w:r>
      <w:r w:rsidRPr="00382621">
        <w:t>-dependent inhibitory neurons are concurrently lost. Data are represented as mean ± SEM.</w:t>
      </w:r>
    </w:p>
    <w:p w14:paraId="4D579F8B" w14:textId="77777777" w:rsidR="00382621" w:rsidRDefault="00382621" w:rsidP="0014053A"/>
    <w:p w14:paraId="6A089C43" w14:textId="77777777" w:rsidR="00382621" w:rsidRDefault="00382621" w:rsidP="0014053A"/>
    <w:p w14:paraId="15EC65F2" w14:textId="77777777" w:rsidR="00382621" w:rsidRPr="00382621" w:rsidRDefault="00382621" w:rsidP="00382621">
      <w:r w:rsidRPr="00382621">
        <w:t>Behavioral Testing</w:t>
      </w:r>
    </w:p>
    <w:p w14:paraId="290FB9A0" w14:textId="77777777" w:rsidR="00382621" w:rsidRPr="00382621" w:rsidRDefault="00382621" w:rsidP="00382621">
      <w:r w:rsidRPr="00382621">
        <w:t>Surgery and </w:t>
      </w:r>
      <w:hyperlink r:id="rId162" w:tooltip="Learn more about behavior from ScienceDirect's AI-generated Topic Pages" w:history="1">
        <w:r w:rsidRPr="00382621">
          <w:rPr>
            <w:rStyle w:val="a7"/>
          </w:rPr>
          <w:t>behavior</w:t>
        </w:r>
      </w:hyperlink>
      <w:r w:rsidRPr="00382621">
        <w:t> testing were performed as previously described (</w:t>
      </w:r>
      <w:bookmarkStart w:id="15" w:name="bbib25"/>
      <w:r w:rsidRPr="00382621">
        <w:rPr>
          <w:rFonts w:hint="eastAsia"/>
        </w:rPr>
        <w:fldChar w:fldCharType="begin"/>
      </w:r>
      <w:r w:rsidRPr="00382621">
        <w:rPr>
          <w:rFonts w:hint="eastAsia"/>
        </w:rPr>
        <w:instrText>HYPERLINK "https://www.sciencedirect.com/science/article/pii/S0092867414014342" \l "bib25"</w:instrText>
      </w:r>
      <w:r w:rsidRPr="00382621">
        <w:rPr>
          <w:rFonts w:hint="eastAsia"/>
        </w:rPr>
        <w:fldChar w:fldCharType="separate"/>
      </w:r>
      <w:r w:rsidRPr="00382621">
        <w:rPr>
          <w:rStyle w:val="a7"/>
        </w:rPr>
        <w:t>Knowlton et al., 2013</w:t>
      </w:r>
      <w:r w:rsidRPr="00382621">
        <w:rPr>
          <w:rFonts w:hint="eastAsia"/>
        </w:rPr>
        <w:fldChar w:fldCharType="end"/>
      </w:r>
      <w:bookmarkEnd w:id="15"/>
      <w:r w:rsidRPr="00382621">
        <w:t>, </w:t>
      </w:r>
      <w:bookmarkStart w:id="16" w:name="bbib32"/>
      <w:r w:rsidRPr="00382621">
        <w:rPr>
          <w:rFonts w:hint="eastAsia"/>
        </w:rPr>
        <w:fldChar w:fldCharType="begin"/>
      </w:r>
      <w:r w:rsidRPr="00382621">
        <w:rPr>
          <w:rFonts w:hint="eastAsia"/>
        </w:rPr>
        <w:instrText>HYPERLINK "https://www.sciencedirect.com/science/article/pii/S0092867414014342" \l "bib32"</w:instrText>
      </w:r>
      <w:r w:rsidRPr="00382621">
        <w:rPr>
          <w:rFonts w:hint="eastAsia"/>
        </w:rPr>
        <w:fldChar w:fldCharType="separate"/>
      </w:r>
      <w:r w:rsidRPr="00382621">
        <w:rPr>
          <w:rStyle w:val="a7"/>
        </w:rPr>
        <w:t>Liu et al., 2010</w:t>
      </w:r>
      <w:r w:rsidRPr="00382621">
        <w:rPr>
          <w:rFonts w:hint="eastAsia"/>
        </w:rPr>
        <w:fldChar w:fldCharType="end"/>
      </w:r>
      <w:bookmarkEnd w:id="16"/>
      <w:r w:rsidRPr="00382621">
        <w:t xml:space="preserve">). Sensorimotor coordination was measured by rotarod, innocuous touch sensations were measured using sticky tape and brushing assays, thermal sensations were measured by the Hargreaves, hot plate, cold plate, and acetone evaporation assays, and mechanical pain were measured by von Frey, pinprick, and pinch assays. Static allodynia was measured using von Frey assay, and dynamic allodynia was measured using the scoring system developed by Dr. Enrique José </w:t>
      </w:r>
      <w:proofErr w:type="spellStart"/>
      <w:r w:rsidRPr="00382621">
        <w:t>Cobos</w:t>
      </w:r>
      <w:proofErr w:type="spellEnd"/>
      <w:r w:rsidRPr="00382621">
        <w:t xml:space="preserve"> (see </w:t>
      </w:r>
      <w:bookmarkStart w:id="17" w:name="bdtbox1"/>
      <w:r w:rsidRPr="00382621">
        <w:rPr>
          <w:rFonts w:hint="eastAsia"/>
        </w:rPr>
        <w:fldChar w:fldCharType="begin"/>
      </w:r>
      <w:r w:rsidRPr="00382621">
        <w:rPr>
          <w:rFonts w:hint="eastAsia"/>
        </w:rPr>
        <w:instrText>HYPERLINK "https://www.sciencedirect.com/science/article/pii/S0092867414014342" \l "dtbox1"</w:instrText>
      </w:r>
      <w:r w:rsidRPr="00382621">
        <w:rPr>
          <w:rFonts w:hint="eastAsia"/>
        </w:rPr>
        <w:fldChar w:fldCharType="separate"/>
      </w:r>
      <w:r w:rsidRPr="00382621">
        <w:rPr>
          <w:rStyle w:val="a7"/>
        </w:rPr>
        <w:t>Extended Experimental Procedures</w:t>
      </w:r>
      <w:r w:rsidRPr="00382621">
        <w:rPr>
          <w:rFonts w:hint="eastAsia"/>
        </w:rPr>
        <w:fldChar w:fldCharType="end"/>
      </w:r>
      <w:r w:rsidRPr="00382621">
        <w:t> for details).</w:t>
      </w:r>
    </w:p>
    <w:p w14:paraId="5B50F841" w14:textId="77777777" w:rsidR="00382621" w:rsidRPr="00382621" w:rsidRDefault="00382621" w:rsidP="00382621">
      <w:r w:rsidRPr="00382621">
        <w:t>Spinal Cord Slice Preparation, Patch Clamp Recording, and Biocytin Labeling</w:t>
      </w:r>
    </w:p>
    <w:p w14:paraId="4C50BA3E" w14:textId="77777777" w:rsidR="00382621" w:rsidRPr="00382621" w:rsidRDefault="00382621" w:rsidP="00382621">
      <w:r w:rsidRPr="00382621">
        <w:t>The lumbar spinal cord of mice (P23-P30) was removed and then sagittal spinal cord slices (350–500 </w:t>
      </w:r>
      <w:proofErr w:type="spellStart"/>
      <w:r w:rsidRPr="00382621">
        <w:t>μm</w:t>
      </w:r>
      <w:proofErr w:type="spellEnd"/>
      <w:r w:rsidRPr="00382621">
        <w:t>) with dorsal roots (8–18 mm) attached were cut. Whole-cell patch-clamp recordings were performed. To reveal neuron morphology, biocytin was filled in the targeted neuron after a minimum of 20 min in the whole-cell, tight-seal patch-clamp configuration (see </w:t>
      </w:r>
      <w:hyperlink r:id="rId163" w:anchor="dtbox1" w:history="1">
        <w:r w:rsidRPr="00382621">
          <w:rPr>
            <w:rStyle w:val="a7"/>
          </w:rPr>
          <w:t>Extended Experimental Procedures</w:t>
        </w:r>
      </w:hyperlink>
      <w:bookmarkEnd w:id="17"/>
      <w:r w:rsidRPr="00382621">
        <w:t> for details).</w:t>
      </w:r>
    </w:p>
    <w:p w14:paraId="58C91F45" w14:textId="241E4EE0" w:rsidR="00382621" w:rsidRDefault="00382621">
      <w:pPr>
        <w:widowControl/>
        <w:jc w:val="left"/>
      </w:pPr>
      <w:r>
        <w:rPr>
          <w:rFonts w:hint="eastAsia"/>
        </w:rPr>
        <w:br w:type="page"/>
      </w:r>
    </w:p>
    <w:p w14:paraId="39C4C051" w14:textId="2E75CE4E" w:rsidR="00382621" w:rsidRDefault="00A75605" w:rsidP="0014053A">
      <w:r>
        <w:rPr>
          <w:rFonts w:hint="eastAsia"/>
        </w:rPr>
        <w:lastRenderedPageBreak/>
        <w:t>22.</w:t>
      </w:r>
      <w:hyperlink r:id="rId164" w:history="1">
        <w:r w:rsidR="00382621" w:rsidRPr="00382621">
          <w:rPr>
            <w:rStyle w:val="a7"/>
          </w:rPr>
          <w:t>Olfactory exposure to males, including men, causes stress and related analgesia in rodents | Nature Methods</w:t>
        </w:r>
      </w:hyperlink>
    </w:p>
    <w:p w14:paraId="371918BF" w14:textId="77777777" w:rsidR="00382621" w:rsidRPr="00382621" w:rsidRDefault="00382621" w:rsidP="0014053A">
      <w:pPr>
        <w:rPr>
          <w:b/>
          <w:bCs/>
        </w:rPr>
      </w:pPr>
    </w:p>
    <w:p w14:paraId="66DFF2AA" w14:textId="77777777" w:rsidR="00382621" w:rsidRPr="00382621" w:rsidRDefault="00382621" w:rsidP="00382621">
      <w:pPr>
        <w:rPr>
          <w:b/>
          <w:bCs/>
        </w:rPr>
      </w:pPr>
      <w:r w:rsidRPr="00382621">
        <w:rPr>
          <w:rFonts w:hint="eastAsia"/>
          <w:b/>
          <w:bCs/>
        </w:rPr>
        <w:t>Olfactory exposure to males, including men, causes stress and related analgesia in rodents</w:t>
      </w:r>
    </w:p>
    <w:p w14:paraId="51745C28" w14:textId="386D4BD6" w:rsidR="00382621" w:rsidRDefault="00382621" w:rsidP="00382621">
      <w:r>
        <w:rPr>
          <w:rFonts w:hint="eastAsia"/>
        </w:rPr>
        <w:t xml:space="preserve">Robert E Sorge, Loren J Martin, Kelsey A </w:t>
      </w:r>
      <w:proofErr w:type="spellStart"/>
      <w:r>
        <w:rPr>
          <w:rFonts w:hint="eastAsia"/>
        </w:rPr>
        <w:t>Isbester</w:t>
      </w:r>
      <w:proofErr w:type="spellEnd"/>
      <w:r>
        <w:rPr>
          <w:rFonts w:hint="eastAsia"/>
        </w:rPr>
        <w:t xml:space="preserve">, Susana G </w:t>
      </w:r>
      <w:proofErr w:type="spellStart"/>
      <w:r>
        <w:rPr>
          <w:rFonts w:hint="eastAsia"/>
        </w:rPr>
        <w:t>Sotocinal</w:t>
      </w:r>
      <w:proofErr w:type="spellEnd"/>
      <w:r>
        <w:rPr>
          <w:rFonts w:hint="eastAsia"/>
        </w:rPr>
        <w:t xml:space="preserve">, Sarah Rosen, Alexander H Tuttle, Jeffrey S </w:t>
      </w:r>
      <w:proofErr w:type="spellStart"/>
      <w:r>
        <w:rPr>
          <w:rFonts w:hint="eastAsia"/>
        </w:rPr>
        <w:t>Wieskopf</w:t>
      </w:r>
      <w:proofErr w:type="spellEnd"/>
      <w:r>
        <w:rPr>
          <w:rFonts w:hint="eastAsia"/>
        </w:rPr>
        <w:t xml:space="preserve">, </w:t>
      </w:r>
      <w:proofErr w:type="spellStart"/>
      <w:r>
        <w:rPr>
          <w:rFonts w:hint="eastAsia"/>
        </w:rPr>
        <w:t>Erinn</w:t>
      </w:r>
      <w:proofErr w:type="spellEnd"/>
      <w:r>
        <w:rPr>
          <w:rFonts w:hint="eastAsia"/>
        </w:rPr>
        <w:t xml:space="preserve"> L Acland, </w:t>
      </w:r>
      <w:proofErr w:type="spellStart"/>
      <w:r>
        <w:rPr>
          <w:rFonts w:hint="eastAsia"/>
        </w:rPr>
        <w:t>Anastassia</w:t>
      </w:r>
      <w:proofErr w:type="spellEnd"/>
      <w:r>
        <w:rPr>
          <w:rFonts w:hint="eastAsia"/>
        </w:rPr>
        <w:t xml:space="preserve"> </w:t>
      </w:r>
      <w:proofErr w:type="spellStart"/>
      <w:r>
        <w:rPr>
          <w:rFonts w:hint="eastAsia"/>
        </w:rPr>
        <w:t>Dokova</w:t>
      </w:r>
      <w:proofErr w:type="spellEnd"/>
      <w:r>
        <w:rPr>
          <w:rFonts w:hint="eastAsia"/>
        </w:rPr>
        <w:t xml:space="preserve">, Basil </w:t>
      </w:r>
      <w:proofErr w:type="spellStart"/>
      <w:r>
        <w:rPr>
          <w:rFonts w:hint="eastAsia"/>
        </w:rPr>
        <w:t>Kadoura</w:t>
      </w:r>
      <w:proofErr w:type="spellEnd"/>
      <w:r>
        <w:rPr>
          <w:rFonts w:hint="eastAsia"/>
        </w:rPr>
        <w:t xml:space="preserve">, Philip Leger, Josiane C S </w:t>
      </w:r>
      <w:proofErr w:type="spellStart"/>
      <w:r>
        <w:rPr>
          <w:rFonts w:hint="eastAsia"/>
        </w:rPr>
        <w:t>Mapplebeck</w:t>
      </w:r>
      <w:proofErr w:type="spellEnd"/>
      <w:r>
        <w:rPr>
          <w:rFonts w:hint="eastAsia"/>
        </w:rPr>
        <w:t xml:space="preserve">, Martina McPhail, Ada Delaney, Gustaf </w:t>
      </w:r>
      <w:proofErr w:type="spellStart"/>
      <w:r>
        <w:rPr>
          <w:rFonts w:hint="eastAsia"/>
        </w:rPr>
        <w:t>Wigerblad</w:t>
      </w:r>
      <w:proofErr w:type="spellEnd"/>
      <w:r>
        <w:rPr>
          <w:rFonts w:hint="eastAsia"/>
        </w:rPr>
        <w:t xml:space="preserve">, Alan P Schumann, Tammie Quinn, Johannes </w:t>
      </w:r>
      <w:proofErr w:type="spellStart"/>
      <w:r>
        <w:rPr>
          <w:rFonts w:hint="eastAsia"/>
        </w:rPr>
        <w:t>Frasnelli</w:t>
      </w:r>
      <w:proofErr w:type="spellEnd"/>
      <w:r>
        <w:rPr>
          <w:rFonts w:hint="eastAsia"/>
        </w:rPr>
        <w:t xml:space="preserve">, Camilla I </w:t>
      </w:r>
      <w:proofErr w:type="spellStart"/>
      <w:r>
        <w:rPr>
          <w:rFonts w:hint="eastAsia"/>
        </w:rPr>
        <w:t>Svensson</w:t>
      </w:r>
      <w:proofErr w:type="spellEnd"/>
      <w:r>
        <w:rPr>
          <w:rFonts w:hint="eastAsia"/>
        </w:rPr>
        <w:t xml:space="preserve">, Wendy F Sternberg &amp; Jeffrey S </w:t>
      </w:r>
      <w:proofErr w:type="spellStart"/>
      <w:r>
        <w:rPr>
          <w:rFonts w:hint="eastAsia"/>
        </w:rPr>
        <w:t>Mogil</w:t>
      </w:r>
      <w:proofErr w:type="spellEnd"/>
    </w:p>
    <w:p w14:paraId="147D763B" w14:textId="77777777" w:rsidR="00382621" w:rsidRDefault="00382621" w:rsidP="00382621"/>
    <w:p w14:paraId="684BFFB7" w14:textId="469DFFDF" w:rsidR="00382621" w:rsidRDefault="00382621">
      <w:pPr>
        <w:widowControl/>
        <w:jc w:val="left"/>
      </w:pPr>
      <w:r>
        <w:rPr>
          <w:rFonts w:hint="eastAsia"/>
        </w:rPr>
        <w:br w:type="page"/>
      </w:r>
    </w:p>
    <w:p w14:paraId="366DF989" w14:textId="33683228" w:rsidR="00382621" w:rsidRDefault="00A75605" w:rsidP="00382621">
      <w:r>
        <w:rPr>
          <w:rFonts w:hint="eastAsia"/>
        </w:rPr>
        <w:lastRenderedPageBreak/>
        <w:t>23.</w:t>
      </w:r>
      <w:hyperlink r:id="rId165" w:history="1">
        <w:r w:rsidR="0013483A" w:rsidRPr="0013483A">
          <w:rPr>
            <w:rStyle w:val="a7"/>
          </w:rPr>
          <w:t>Different immune cells mediate mechanical pain hypersensitivity in male and female mice - PMC</w:t>
        </w:r>
      </w:hyperlink>
    </w:p>
    <w:p w14:paraId="602275A3" w14:textId="77777777" w:rsidR="0013483A" w:rsidRDefault="0013483A" w:rsidP="00382621"/>
    <w:p w14:paraId="1F40B030" w14:textId="77777777" w:rsidR="0013483A" w:rsidRPr="0013483A" w:rsidRDefault="0013483A" w:rsidP="0013483A">
      <w:pPr>
        <w:rPr>
          <w:b/>
          <w:bCs/>
        </w:rPr>
      </w:pPr>
      <w:r w:rsidRPr="0013483A">
        <w:rPr>
          <w:rFonts w:hint="eastAsia"/>
          <w:b/>
          <w:bCs/>
        </w:rPr>
        <w:t>Different immune cells mediate mechanical pain hypersensitivity in male and female mice</w:t>
      </w:r>
    </w:p>
    <w:p w14:paraId="37A3A679" w14:textId="0FB3DAD6" w:rsidR="0013483A" w:rsidRDefault="0013483A" w:rsidP="0013483A">
      <w:r>
        <w:rPr>
          <w:rFonts w:hint="eastAsia"/>
        </w:rPr>
        <w:t>Robert E Sorge 1,</w:t>
      </w:r>
      <w:proofErr w:type="gramStart"/>
      <w:r>
        <w:rPr>
          <w:rFonts w:hint="eastAsia"/>
        </w:rPr>
        <w:t>2,*</w:t>
      </w:r>
      <w:proofErr w:type="gramEnd"/>
      <w:r>
        <w:rPr>
          <w:rFonts w:hint="eastAsia"/>
        </w:rPr>
        <w:t xml:space="preserve">, Josiane CS </w:t>
      </w:r>
      <w:proofErr w:type="spellStart"/>
      <w:r>
        <w:rPr>
          <w:rFonts w:hint="eastAsia"/>
        </w:rPr>
        <w:t>Mapplebeck</w:t>
      </w:r>
      <w:proofErr w:type="spellEnd"/>
      <w:r>
        <w:rPr>
          <w:rFonts w:hint="eastAsia"/>
        </w:rPr>
        <w:t xml:space="preserve"> 1,3,4,5,*, Sarah Rosen 1, Simon </w:t>
      </w:r>
      <w:proofErr w:type="spellStart"/>
      <w:r>
        <w:rPr>
          <w:rFonts w:hint="eastAsia"/>
        </w:rPr>
        <w:t>Beggs</w:t>
      </w:r>
      <w:proofErr w:type="spellEnd"/>
      <w:r>
        <w:rPr>
          <w:rFonts w:hint="eastAsia"/>
        </w:rPr>
        <w:t xml:space="preserve"> 3,4,5, Sarah </w:t>
      </w:r>
      <w:proofErr w:type="spellStart"/>
      <w:r>
        <w:rPr>
          <w:rFonts w:hint="eastAsia"/>
        </w:rPr>
        <w:t>Taves</w:t>
      </w:r>
      <w:proofErr w:type="spellEnd"/>
      <w:r>
        <w:rPr>
          <w:rFonts w:hint="eastAsia"/>
        </w:rPr>
        <w:t xml:space="preserve"> 6, Jessica K Alexander 2, Loren J Martin 1, Jean-Sebastien Austin 1, Susana G </w:t>
      </w:r>
      <w:proofErr w:type="spellStart"/>
      <w:r>
        <w:rPr>
          <w:rFonts w:hint="eastAsia"/>
        </w:rPr>
        <w:t>Sotocinal</w:t>
      </w:r>
      <w:proofErr w:type="spellEnd"/>
      <w:r>
        <w:rPr>
          <w:rFonts w:hint="eastAsia"/>
        </w:rPr>
        <w:t xml:space="preserve"> 1, Di Chen 1, Mu Yang 6, Xiang </w:t>
      </w:r>
      <w:proofErr w:type="spellStart"/>
      <w:r>
        <w:rPr>
          <w:rFonts w:hint="eastAsia"/>
        </w:rPr>
        <w:t>Qun</w:t>
      </w:r>
      <w:proofErr w:type="spellEnd"/>
      <w:r>
        <w:rPr>
          <w:rFonts w:hint="eastAsia"/>
        </w:rPr>
        <w:t xml:space="preserve"> Shi 7, Hao Huang 7, Nicolas J </w:t>
      </w:r>
      <w:proofErr w:type="spellStart"/>
      <w:r>
        <w:rPr>
          <w:rFonts w:hint="eastAsia"/>
        </w:rPr>
        <w:t>Pillon</w:t>
      </w:r>
      <w:proofErr w:type="spellEnd"/>
      <w:r>
        <w:rPr>
          <w:rFonts w:hint="eastAsia"/>
        </w:rPr>
        <w:t xml:space="preserve"> 8, Philip J </w:t>
      </w:r>
      <w:proofErr w:type="spellStart"/>
      <w:r>
        <w:rPr>
          <w:rFonts w:hint="eastAsia"/>
        </w:rPr>
        <w:t>Bilan</w:t>
      </w:r>
      <w:proofErr w:type="spellEnd"/>
      <w:r>
        <w:rPr>
          <w:rFonts w:hint="eastAsia"/>
        </w:rPr>
        <w:t xml:space="preserve"> 8, Yu Shan Tu 3, Amira </w:t>
      </w:r>
      <w:proofErr w:type="spellStart"/>
      <w:r>
        <w:rPr>
          <w:rFonts w:hint="eastAsia"/>
        </w:rPr>
        <w:t>Klip</w:t>
      </w:r>
      <w:proofErr w:type="spellEnd"/>
      <w:r>
        <w:rPr>
          <w:rFonts w:hint="eastAsia"/>
        </w:rPr>
        <w:t xml:space="preserve"> 8, Ru-Rong Ji 6, Ji Zhang 7,9, Michael W Salter 3,4,5, Jeffrey S </w:t>
      </w:r>
      <w:proofErr w:type="spellStart"/>
      <w:r>
        <w:rPr>
          <w:rFonts w:hint="eastAsia"/>
        </w:rPr>
        <w:t>Mogil</w:t>
      </w:r>
      <w:proofErr w:type="spellEnd"/>
      <w:r>
        <w:rPr>
          <w:rFonts w:hint="eastAsia"/>
        </w:rPr>
        <w:t xml:space="preserve"> 1</w:t>
      </w:r>
    </w:p>
    <w:p w14:paraId="3EA73C70" w14:textId="77777777" w:rsidR="00CA2FBF" w:rsidRDefault="00CA2FBF" w:rsidP="0013483A"/>
    <w:p w14:paraId="48D873B6" w14:textId="51F31AA7" w:rsidR="00CA2FBF" w:rsidRDefault="00CA2FBF" w:rsidP="0013483A">
      <w:r>
        <w:rPr>
          <w:rFonts w:hint="eastAsia"/>
          <w:noProof/>
        </w:rPr>
        <w:drawing>
          <wp:inline distT="0" distB="0" distL="0" distR="0" wp14:anchorId="5D1D31DA" wp14:editId="4CC0E8CD">
            <wp:extent cx="5121092" cy="5243946"/>
            <wp:effectExtent l="0" t="0" r="3810" b="0"/>
            <wp:docPr id="135656336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127441" cy="5250447"/>
                    </a:xfrm>
                    <a:prstGeom prst="rect">
                      <a:avLst/>
                    </a:prstGeom>
                    <a:noFill/>
                  </pic:spPr>
                </pic:pic>
              </a:graphicData>
            </a:graphic>
          </wp:inline>
        </w:drawing>
      </w:r>
    </w:p>
    <w:p w14:paraId="390658D9" w14:textId="5AE94A28" w:rsidR="00CA2FBF" w:rsidRDefault="00CA2FBF" w:rsidP="0013483A">
      <w:r w:rsidRPr="00CA2FBF">
        <w:rPr>
          <w:b/>
          <w:bCs/>
        </w:rPr>
        <w:t>a</w:t>
      </w:r>
      <w:r w:rsidRPr="00CA2FBF">
        <w:t>) Reversal of established SNI-induced mechanical allodynia by intrathecal minocycline (MCL) in male but not female mice (see also </w:t>
      </w:r>
      <w:hyperlink r:id="rId167" w:anchor="SD1" w:history="1">
        <w:r w:rsidRPr="00CA2FBF">
          <w:rPr>
            <w:rStyle w:val="a7"/>
          </w:rPr>
          <w:t>Supplementary Fig. 1a</w:t>
        </w:r>
      </w:hyperlink>
      <w:r w:rsidRPr="00CA2FBF">
        <w:t>). Symbols represent mean ± SEM 50% withdrawal threshold from von Frey filaments before surgery (BL), 7 days after surgery (pre-injection; D7), and 10–120 min post-injection of minocycline (</w:t>
      </w:r>
      <w:r w:rsidRPr="00CA2FBF">
        <w:rPr>
          <w:i/>
          <w:iCs/>
        </w:rPr>
        <w:t>n</w:t>
      </w:r>
      <w:r w:rsidRPr="00CA2FBF">
        <w:t>=4–5 mice/dose/sex). A different set of mice (</w:t>
      </w:r>
      <w:r w:rsidRPr="00CA2FBF">
        <w:rPr>
          <w:i/>
          <w:iCs/>
        </w:rPr>
        <w:t>n</w:t>
      </w:r>
      <w:r w:rsidRPr="00CA2FBF">
        <w:t>=4 mice/sex) were tested similarly, 28 days post-SNI (D28; right side). </w:t>
      </w:r>
      <w:r w:rsidRPr="00CA2FBF">
        <w:rPr>
          <w:b/>
          <w:bCs/>
        </w:rPr>
        <w:t>b</w:t>
      </w:r>
      <w:r w:rsidRPr="00CA2FBF">
        <w:t xml:space="preserve">) Male but not female mice treated with Mac-1-SAP display significantly </w:t>
      </w:r>
      <w:r w:rsidRPr="00CA2FBF">
        <w:lastRenderedPageBreak/>
        <w:t>reduced SNI allodynia at 4 h post-treatment. Symbols represent mean ± SEM 50% withdrawal threshold from von Frey filaments before surgery (BL), 7 days after surgery, pre-injection (D7), and 1, 2, 4 and 24 h post-SAP (</w:t>
      </w:r>
      <w:r w:rsidRPr="00CA2FBF">
        <w:rPr>
          <w:i/>
          <w:iCs/>
        </w:rPr>
        <w:t>n</w:t>
      </w:r>
      <w:r w:rsidRPr="00CA2FBF">
        <w:t>=11 mice/sex/condition). </w:t>
      </w:r>
      <w:r w:rsidRPr="00CA2FBF">
        <w:rPr>
          <w:b/>
          <w:bCs/>
        </w:rPr>
        <w:t>c</w:t>
      </w:r>
      <w:r w:rsidRPr="00CA2FBF">
        <w:t xml:space="preserve">) Intrathecal administration of the P2X inhibitor, TNP-ATP, the p38 MAPK inhibitor, SB203580, the NGF/BDNF inhibitor, Y1036, or the BDNF-sequestering fusion protein, </w:t>
      </w:r>
      <w:proofErr w:type="spellStart"/>
      <w:r w:rsidRPr="00CA2FBF">
        <w:t>TrkB</w:t>
      </w:r>
      <w:proofErr w:type="spellEnd"/>
      <w:r w:rsidRPr="00CA2FBF">
        <w:t>-Fc, all block SNI-induced allodynia in male but not female mice. The NMDA receptor antagonist, APV, blocks allodynia equally in both sexes. Bars represent mean ± SEM percentage of maximal anti-allodynia (see Methods; </w:t>
      </w:r>
      <w:r w:rsidRPr="00CA2FBF">
        <w:rPr>
          <w:i/>
          <w:iCs/>
        </w:rPr>
        <w:t>n</w:t>
      </w:r>
      <w:r w:rsidRPr="00CA2FBF">
        <w:t>=8 mice/sex/drug). </w:t>
      </w:r>
      <w:r w:rsidRPr="00CA2FBF">
        <w:rPr>
          <w:b/>
          <w:bCs/>
        </w:rPr>
        <w:t>d</w:t>
      </w:r>
      <w:r w:rsidRPr="00CA2FBF">
        <w:t>) Development of SNI-induced mechanical allodynia in male and female mice lacking central nervous system microglial BDNF (i.e., with tamoxifen-induced Cre-</w:t>
      </w:r>
      <w:proofErr w:type="spellStart"/>
      <w:r w:rsidRPr="00CA2FBF">
        <w:t>loxP</w:t>
      </w:r>
      <w:proofErr w:type="spellEnd"/>
      <w:r w:rsidRPr="00CA2FBF">
        <w:t>-mediated deletion of the </w:t>
      </w:r>
      <w:proofErr w:type="spellStart"/>
      <w:r w:rsidRPr="00CA2FBF">
        <w:rPr>
          <w:i/>
          <w:iCs/>
        </w:rPr>
        <w:t>Bdnf</w:t>
      </w:r>
      <w:proofErr w:type="spellEnd"/>
      <w:r w:rsidRPr="00CA2FBF">
        <w:t> gene in CX3CR1-positive cells). Mutant (</w:t>
      </w:r>
      <w:proofErr w:type="spellStart"/>
      <w:r w:rsidRPr="00CA2FBF">
        <w:rPr>
          <w:i/>
          <w:iCs/>
        </w:rPr>
        <w:t>Bdnf</w:t>
      </w:r>
      <w:proofErr w:type="spellEnd"/>
      <w:r w:rsidRPr="00CA2FBF">
        <w:rPr>
          <w:rFonts w:ascii="微软雅黑" w:eastAsia="微软雅黑" w:hAnsi="微软雅黑" w:cs="微软雅黑" w:hint="eastAsia"/>
          <w:vertAlign w:val="superscript"/>
        </w:rPr>
        <w:t>−</w:t>
      </w:r>
      <w:r w:rsidRPr="00CA2FBF">
        <w:rPr>
          <w:vertAlign w:val="superscript"/>
        </w:rPr>
        <w:t>/</w:t>
      </w:r>
      <w:r w:rsidRPr="00CA2FBF">
        <w:rPr>
          <w:rFonts w:ascii="微软雅黑" w:eastAsia="微软雅黑" w:hAnsi="微软雅黑" w:cs="微软雅黑" w:hint="eastAsia"/>
          <w:vertAlign w:val="superscript"/>
        </w:rPr>
        <w:t>−</w:t>
      </w:r>
      <w:r w:rsidRPr="00CA2FBF">
        <w:t>) male mice fail to develop full allodynia displayed by female </w:t>
      </w:r>
      <w:proofErr w:type="spellStart"/>
      <w:r w:rsidRPr="00CA2FBF">
        <w:rPr>
          <w:i/>
          <w:iCs/>
        </w:rPr>
        <w:t>Bdnf</w:t>
      </w:r>
      <w:proofErr w:type="spellEnd"/>
      <w:r w:rsidRPr="00CA2FBF">
        <w:rPr>
          <w:rFonts w:ascii="微软雅黑" w:eastAsia="微软雅黑" w:hAnsi="微软雅黑" w:cs="微软雅黑" w:hint="eastAsia"/>
          <w:vertAlign w:val="superscript"/>
        </w:rPr>
        <w:t>−</w:t>
      </w:r>
      <w:r w:rsidRPr="00CA2FBF">
        <w:rPr>
          <w:vertAlign w:val="superscript"/>
        </w:rPr>
        <w:t>/</w:t>
      </w:r>
      <w:r w:rsidRPr="00CA2FBF">
        <w:rPr>
          <w:rFonts w:ascii="微软雅黑" w:eastAsia="微软雅黑" w:hAnsi="微软雅黑" w:cs="微软雅黑" w:hint="eastAsia"/>
          <w:vertAlign w:val="superscript"/>
        </w:rPr>
        <w:t>−</w:t>
      </w:r>
      <w:r w:rsidRPr="00CA2FBF">
        <w:t> and wildtype (</w:t>
      </w:r>
      <w:proofErr w:type="spellStart"/>
      <w:r w:rsidRPr="00CA2FBF">
        <w:rPr>
          <w:i/>
          <w:iCs/>
        </w:rPr>
        <w:t>Bdnf</w:t>
      </w:r>
      <w:proofErr w:type="spellEnd"/>
      <w:r w:rsidRPr="00CA2FBF">
        <w:rPr>
          <w:vertAlign w:val="superscript"/>
        </w:rPr>
        <w:t>+/+</w:t>
      </w:r>
      <w:r w:rsidRPr="00CA2FBF">
        <w:t xml:space="preserve">) mice. Symbols represent mean ± SEM absolute withdrawal threshold from von Frey filaments before and </w:t>
      </w:r>
      <w:proofErr w:type="gramStart"/>
      <w:r w:rsidRPr="00CA2FBF">
        <w:t>3, 7, 10 and 14 days</w:t>
      </w:r>
      <w:proofErr w:type="gramEnd"/>
      <w:r w:rsidRPr="00CA2FBF">
        <w:t xml:space="preserve"> post-surgery (</w:t>
      </w:r>
      <w:r w:rsidRPr="00CA2FBF">
        <w:rPr>
          <w:i/>
          <w:iCs/>
        </w:rPr>
        <w:t>n</w:t>
      </w:r>
      <w:r w:rsidRPr="00CA2FBF">
        <w:t>=4–8 mice/sex/genotype). *</w:t>
      </w:r>
      <w:r w:rsidRPr="00CA2FBF">
        <w:rPr>
          <w:i/>
          <w:iCs/>
        </w:rPr>
        <w:t>p</w:t>
      </w:r>
      <w:r w:rsidRPr="00CA2FBF">
        <w:t>&lt;0.05, **</w:t>
      </w:r>
      <w:r w:rsidRPr="00CA2FBF">
        <w:rPr>
          <w:i/>
          <w:iCs/>
        </w:rPr>
        <w:t>p</w:t>
      </w:r>
      <w:r w:rsidRPr="00CA2FBF">
        <w:t>&lt;0.01, ***</w:t>
      </w:r>
      <w:r w:rsidRPr="00CA2FBF">
        <w:rPr>
          <w:i/>
          <w:iCs/>
        </w:rPr>
        <w:t>p</w:t>
      </w:r>
      <w:r w:rsidRPr="00CA2FBF">
        <w:t>&lt;0.001 compared to corresponding female mice by </w:t>
      </w:r>
      <w:r w:rsidRPr="00CA2FBF">
        <w:rPr>
          <w:i/>
          <w:iCs/>
        </w:rPr>
        <w:t>t</w:t>
      </w:r>
      <w:r w:rsidRPr="00CA2FBF">
        <w:t>-test.</w:t>
      </w:r>
    </w:p>
    <w:p w14:paraId="3CA56D08" w14:textId="77777777" w:rsidR="00CA2FBF" w:rsidRDefault="00CA2FBF" w:rsidP="0013483A"/>
    <w:p w14:paraId="104C2A5B" w14:textId="77777777" w:rsidR="00CA2FBF" w:rsidRDefault="00CA2FBF" w:rsidP="0013483A"/>
    <w:p w14:paraId="3F3E4DF5" w14:textId="77777777" w:rsidR="0091446C" w:rsidRPr="0091446C" w:rsidRDefault="0091446C" w:rsidP="0091446C">
      <w:r w:rsidRPr="0091446C">
        <w:t>von Frey Testing</w:t>
      </w:r>
    </w:p>
    <w:p w14:paraId="54418173" w14:textId="77777777" w:rsidR="0091446C" w:rsidRPr="0091446C" w:rsidRDefault="0091446C" w:rsidP="0091446C">
      <w:r w:rsidRPr="0091446C">
        <w:t>Behavioral testing was performed by experimenters of both genders</w:t>
      </w:r>
      <w:hyperlink r:id="rId168" w:anchor="R20" w:history="1">
        <w:r w:rsidRPr="0091446C">
          <w:rPr>
            <w:rStyle w:val="a7"/>
            <w:vertAlign w:val="superscript"/>
          </w:rPr>
          <w:t>20</w:t>
        </w:r>
      </w:hyperlink>
      <w:r w:rsidRPr="0091446C">
        <w:t>; no differences were noted. The up-down method of Dixon</w:t>
      </w:r>
      <w:hyperlink r:id="rId169" w:anchor="R21" w:history="1">
        <w:r w:rsidRPr="0091446C">
          <w:rPr>
            <w:rStyle w:val="a7"/>
            <w:vertAlign w:val="superscript"/>
          </w:rPr>
          <w:t>21</w:t>
        </w:r>
      </w:hyperlink>
      <w:r w:rsidRPr="0091446C">
        <w:t> was used to estimate 50% withdrawal thresholds using nylon monofilaments (</w:t>
      </w:r>
      <w:proofErr w:type="spellStart"/>
      <w:r w:rsidRPr="0091446C">
        <w:t>Stoelting</w:t>
      </w:r>
      <w:proofErr w:type="spellEnd"/>
      <w:r w:rsidRPr="0091446C">
        <w:t xml:space="preserve"> Touch Test), calibrated monthly. All experiments took place during the light cycle, no earlier than 09:00 h and no later than 16:00 h. Mice were placed in custom-made Plexiglas cubicles (5 × 8.5 × 6 cm) on a perforated metal floor, and were permitted to habituate for at least 1 h prior to testing. Filaments were applied to the plantar surface of the hind paw for 1 s and responses were recorded. Two consecutive measures were taken on each hind paw at each time point, and averaged. Although data were collected on both hind paws, only data from the hind paw ipsilateral to the injury (neuropathic or inflammatory; see below) are presented, as no significant effects of sex, drug or genotype on the contralateral paw were observed in any experiment.</w:t>
      </w:r>
    </w:p>
    <w:p w14:paraId="7010039F" w14:textId="77777777" w:rsidR="0091446C" w:rsidRPr="0091446C" w:rsidRDefault="0091446C" w:rsidP="0091446C">
      <w:r w:rsidRPr="0091446C">
        <w:t>In one study, von Frey filaments were used to estimate absolute withdrawal thresholds. Mice were tested using an ascending series, starting with the lowest von Frey filament (0.008 g) until threshold was reached, determined as reflex withdrawal occurring twice in ten stimulations</w:t>
      </w:r>
      <w:hyperlink r:id="rId170" w:anchor="R22" w:history="1">
        <w:r w:rsidRPr="0091446C">
          <w:rPr>
            <w:rStyle w:val="a7"/>
            <w:vertAlign w:val="superscript"/>
          </w:rPr>
          <w:t>22</w:t>
        </w:r>
      </w:hyperlink>
      <w:r w:rsidRPr="0091446C">
        <w:t>.</w:t>
      </w:r>
    </w:p>
    <w:p w14:paraId="3167EBB7" w14:textId="77777777" w:rsidR="0091446C" w:rsidRPr="0091446C" w:rsidRDefault="0091446C" w:rsidP="0091446C">
      <w:r w:rsidRPr="0091446C">
        <w:t>Neuropathic Surgeries</w:t>
      </w:r>
    </w:p>
    <w:p w14:paraId="7ACA962E" w14:textId="77777777" w:rsidR="0091446C" w:rsidRPr="0091446C" w:rsidRDefault="0091446C" w:rsidP="0091446C">
      <w:r w:rsidRPr="0091446C">
        <w:t>Some mice received unilateral SNI</w:t>
      </w:r>
      <w:hyperlink r:id="rId171" w:anchor="R23" w:history="1">
        <w:r w:rsidRPr="0091446C">
          <w:rPr>
            <w:rStyle w:val="a7"/>
            <w:vertAlign w:val="superscript"/>
          </w:rPr>
          <w:t>23</w:t>
        </w:r>
      </w:hyperlink>
      <w:r w:rsidRPr="0091446C">
        <w:t> on the left side, one day following baseline von Frey testing. Surgery was performed under isoflurane/oxygen anesthesia. We spared the sural nerve, and thus von Frey testing before and after SNI occurred on the lateral aspect of the hind paw. In one experiment conducted in a different laboratory (SB203580), mice received unilateral chronic constriction injury</w:t>
      </w:r>
      <w:hyperlink r:id="rId172" w:anchor="R24" w:history="1">
        <w:r w:rsidRPr="0091446C">
          <w:rPr>
            <w:rStyle w:val="a7"/>
            <w:vertAlign w:val="superscript"/>
          </w:rPr>
          <w:t>24</w:t>
        </w:r>
      </w:hyperlink>
      <w:r w:rsidRPr="0091446C">
        <w:t> (CCI) on the left side instead, and were tested with von Frey filaments aimed at the mid-plantar hind paw. In most experiments mice were retested for mechanical allodynia on day 7 post-surgery; in one experiment (shown in </w:t>
      </w:r>
      <w:hyperlink r:id="rId173" w:anchor="F1" w:history="1">
        <w:r w:rsidRPr="0091446C">
          <w:rPr>
            <w:rStyle w:val="a7"/>
          </w:rPr>
          <w:t>Fig. 1a</w:t>
        </w:r>
      </w:hyperlink>
      <w:r w:rsidRPr="0091446C">
        <w:t>, right side) mice were retested on day 28 post-surgery. Microglial-specific </w:t>
      </w:r>
      <w:proofErr w:type="spellStart"/>
      <w:r w:rsidRPr="0091446C">
        <w:rPr>
          <w:i/>
          <w:iCs/>
        </w:rPr>
        <w:t>Bdnf</w:t>
      </w:r>
      <w:proofErr w:type="spellEnd"/>
      <w:r w:rsidRPr="0091446C">
        <w:t xml:space="preserve"> mutants (see below) were retested </w:t>
      </w:r>
      <w:proofErr w:type="gramStart"/>
      <w:r w:rsidRPr="0091446C">
        <w:t>3, 7, 10 and 14 days</w:t>
      </w:r>
      <w:proofErr w:type="gramEnd"/>
      <w:r w:rsidRPr="0091446C">
        <w:t xml:space="preserve"> post-surgery in the prevention experiment, and 1, 4, 5, 6, </w:t>
      </w:r>
      <w:r w:rsidRPr="0091446C">
        <w:lastRenderedPageBreak/>
        <w:t>7 and 8 weeks post-surgery in the reversal experiment.</w:t>
      </w:r>
    </w:p>
    <w:p w14:paraId="48F06696" w14:textId="77777777" w:rsidR="0091446C" w:rsidRPr="0091446C" w:rsidRDefault="0091446C" w:rsidP="0091446C">
      <w:r w:rsidRPr="0091446C">
        <w:t>Complete Freund’s Adjuvant (CFA)</w:t>
      </w:r>
    </w:p>
    <w:p w14:paraId="499C5658" w14:textId="77777777" w:rsidR="0091446C" w:rsidRPr="0091446C" w:rsidRDefault="0091446C" w:rsidP="0091446C">
      <w:r w:rsidRPr="0091446C">
        <w:t xml:space="preserve">Some mice received unilateral injections of CFA (50% in 20 </w:t>
      </w:r>
      <w:proofErr w:type="spellStart"/>
      <w:r w:rsidRPr="0091446C">
        <w:t>μl</w:t>
      </w:r>
      <w:proofErr w:type="spellEnd"/>
      <w:r w:rsidRPr="0091446C">
        <w:t>) into the plantar surface of the left hind paw. von Frey fibers before and after CFA were aimed at the mid-plantar hind paw. In all CFA experiments mice were retested for mechanical allodynia on day 3 post-injection.</w:t>
      </w:r>
    </w:p>
    <w:p w14:paraId="0DA93D3F" w14:textId="77777777" w:rsidR="0091446C" w:rsidRPr="0091446C" w:rsidRDefault="0091446C" w:rsidP="0091446C">
      <w:r w:rsidRPr="0091446C">
        <w:t>Intrathecal Injections</w:t>
      </w:r>
    </w:p>
    <w:p w14:paraId="309F541B" w14:textId="77777777" w:rsidR="0091446C" w:rsidRPr="0091446C" w:rsidRDefault="0091446C" w:rsidP="0091446C">
      <w:r w:rsidRPr="0091446C">
        <w:t>Immediately following post-SNI or post-CFA testing on day 7 or day 3, respectively, mice were removed from their cubicles, lightly anesthetized using isoflurane/oxygen, and given intrathecal injections of drugs</w:t>
      </w:r>
      <w:hyperlink r:id="rId174" w:anchor="R25" w:history="1">
        <w:r w:rsidRPr="0091446C">
          <w:rPr>
            <w:rStyle w:val="a7"/>
            <w:vertAlign w:val="superscript"/>
          </w:rPr>
          <w:t>25</w:t>
        </w:r>
      </w:hyperlink>
      <w:r w:rsidRPr="0091446C">
        <w:t xml:space="preserve">, in a volume of 5 or 10 </w:t>
      </w:r>
      <w:proofErr w:type="spellStart"/>
      <w:r w:rsidRPr="0091446C">
        <w:t>μl</w:t>
      </w:r>
      <w:proofErr w:type="spellEnd"/>
      <w:r w:rsidRPr="0091446C">
        <w:t xml:space="preserve"> over 30 s, using a 30-gauge needle.</w:t>
      </w:r>
    </w:p>
    <w:p w14:paraId="6B6A6ED1" w14:textId="77777777" w:rsidR="0091446C" w:rsidRPr="0091446C" w:rsidRDefault="0091446C" w:rsidP="0091446C">
      <w:r w:rsidRPr="0091446C">
        <w:t>Drugs</w:t>
      </w:r>
    </w:p>
    <w:p w14:paraId="6D2A2E0D" w14:textId="77777777" w:rsidR="0091446C" w:rsidRPr="0091446C" w:rsidRDefault="0091446C" w:rsidP="0091446C">
      <w:r w:rsidRPr="0091446C">
        <w:t xml:space="preserve">Minocycline (50–300 </w:t>
      </w:r>
      <w:proofErr w:type="spellStart"/>
      <w:r w:rsidRPr="0091446C">
        <w:t>μg</w:t>
      </w:r>
      <w:proofErr w:type="spellEnd"/>
      <w:r w:rsidRPr="0091446C">
        <w:t xml:space="preserve">, i.t.), </w:t>
      </w:r>
      <w:proofErr w:type="spellStart"/>
      <w:r w:rsidRPr="0091446C">
        <w:t>fluorocitrate</w:t>
      </w:r>
      <w:proofErr w:type="spellEnd"/>
      <w:r w:rsidRPr="0091446C">
        <w:t xml:space="preserve"> (0.5–1.5 nmol, i.t.), propentofylline (25–75 </w:t>
      </w:r>
      <w:proofErr w:type="spellStart"/>
      <w:r w:rsidRPr="0091446C">
        <w:t>μg</w:t>
      </w:r>
      <w:proofErr w:type="spellEnd"/>
      <w:r w:rsidRPr="0091446C">
        <w:t xml:space="preserve">, i.t.), TNP-ATP sodium salt (5.0 </w:t>
      </w:r>
      <w:proofErr w:type="spellStart"/>
      <w:r w:rsidRPr="0091446C">
        <w:t>μg</w:t>
      </w:r>
      <w:proofErr w:type="spellEnd"/>
      <w:r w:rsidRPr="0091446C">
        <w:t>, i.t.), (2</w:t>
      </w:r>
      <w:r w:rsidRPr="0091446C">
        <w:rPr>
          <w:i/>
          <w:iCs/>
        </w:rPr>
        <w:t>R</w:t>
      </w:r>
      <w:r w:rsidRPr="0091446C">
        <w:t>)-amino-5-phosphonovaleric acid; (2</w:t>
      </w:r>
      <w:r w:rsidRPr="0091446C">
        <w:rPr>
          <w:i/>
          <w:iCs/>
        </w:rPr>
        <w:t>R</w:t>
      </w:r>
      <w:r w:rsidRPr="0091446C">
        <w:t xml:space="preserve">)-amino-5-phosphonopentanoate (APV; 0.5 </w:t>
      </w:r>
      <w:proofErr w:type="spellStart"/>
      <w:r w:rsidRPr="0091446C">
        <w:t>μg</w:t>
      </w:r>
      <w:proofErr w:type="spellEnd"/>
      <w:r w:rsidRPr="0091446C">
        <w:t xml:space="preserve">, i.t.), and fenofibrate (200 </w:t>
      </w:r>
      <w:proofErr w:type="spellStart"/>
      <w:r w:rsidRPr="0091446C">
        <w:t>μg</w:t>
      </w:r>
      <w:proofErr w:type="spellEnd"/>
      <w:r w:rsidRPr="0091446C">
        <w:t xml:space="preserve">, i.t.) were purchased from Sigma. The p38 inhibitor, 4-(4-fluorophenyl)-2-(4-methylsulfonylphenyl)-5-(4-pyridyl)-1H-imidazole (SB203580; 30 </w:t>
      </w:r>
      <w:proofErr w:type="spellStart"/>
      <w:r w:rsidRPr="0091446C">
        <w:t>μg</w:t>
      </w:r>
      <w:proofErr w:type="spellEnd"/>
      <w:r w:rsidRPr="0091446C">
        <w:t xml:space="preserve">, i.t.) and Y1036 (5 </w:t>
      </w:r>
      <w:proofErr w:type="spellStart"/>
      <w:r w:rsidRPr="0091446C">
        <w:t>μg</w:t>
      </w:r>
      <w:proofErr w:type="spellEnd"/>
      <w:r w:rsidRPr="0091446C">
        <w:t xml:space="preserve">, i.t.) were obtained from </w:t>
      </w:r>
      <w:proofErr w:type="spellStart"/>
      <w:r w:rsidRPr="0091446C">
        <w:t>Calbiochem</w:t>
      </w:r>
      <w:proofErr w:type="spellEnd"/>
      <w:r w:rsidRPr="0091446C">
        <w:t xml:space="preserve">. Recombinant human </w:t>
      </w:r>
      <w:proofErr w:type="spellStart"/>
      <w:r w:rsidRPr="0091446C">
        <w:t>TrkB</w:t>
      </w:r>
      <w:proofErr w:type="spellEnd"/>
      <w:r w:rsidRPr="0091446C">
        <w:t xml:space="preserve">-Fc (three i.t. injections of 0.5 </w:t>
      </w:r>
      <w:proofErr w:type="spellStart"/>
      <w:r w:rsidRPr="0091446C">
        <w:t>μg</w:t>
      </w:r>
      <w:proofErr w:type="spellEnd"/>
      <w:r w:rsidRPr="0091446C">
        <w:t xml:space="preserve">, 24 h apart) was purchased from R&amp;D Systems. Pioglitazone potassium salt (300 </w:t>
      </w:r>
      <w:proofErr w:type="spellStart"/>
      <w:r w:rsidRPr="0091446C">
        <w:t>μg</w:t>
      </w:r>
      <w:proofErr w:type="spellEnd"/>
      <w:r w:rsidRPr="0091446C">
        <w:t xml:space="preserve">, i.t.) was purchased from </w:t>
      </w:r>
      <w:proofErr w:type="spellStart"/>
      <w:r w:rsidRPr="0091446C">
        <w:t>Cedarlane</w:t>
      </w:r>
      <w:proofErr w:type="spellEnd"/>
      <w:r w:rsidRPr="0091446C">
        <w:t xml:space="preserve">. GW 9662 (2 mg/kg, </w:t>
      </w:r>
      <w:proofErr w:type="spellStart"/>
      <w:r w:rsidRPr="0091446C">
        <w:t>i.p.</w:t>
      </w:r>
      <w:proofErr w:type="spellEnd"/>
      <w:r w:rsidRPr="0091446C">
        <w:t xml:space="preserve">) was obtained from </w:t>
      </w:r>
      <w:proofErr w:type="spellStart"/>
      <w:r w:rsidRPr="0091446C">
        <w:t>Tocris</w:t>
      </w:r>
      <w:proofErr w:type="spellEnd"/>
      <w:r w:rsidRPr="0091446C">
        <w:t xml:space="preserve">, and administered 90 min prior to pioglitazone. GW 6471 (10 mg/kg, </w:t>
      </w:r>
      <w:proofErr w:type="spellStart"/>
      <w:r w:rsidRPr="0091446C">
        <w:t>i.p.</w:t>
      </w:r>
      <w:proofErr w:type="spellEnd"/>
      <w:r w:rsidRPr="0091446C">
        <w:t xml:space="preserve">) was obtained from Sigma, and administered immediately prior to fenofibrate. All drugs were dissolved in physiological saline or 10–20% dimethyl sulfoxide. Doses were determined in pilot experiments. In one experiment, minocycline was injected systemically at a dose of 25 mg/kg, </w:t>
      </w:r>
      <w:proofErr w:type="spellStart"/>
      <w:r w:rsidRPr="0091446C">
        <w:t>i.p.</w:t>
      </w:r>
      <w:proofErr w:type="spellEnd"/>
    </w:p>
    <w:p w14:paraId="063598BF" w14:textId="77777777" w:rsidR="0091446C" w:rsidRPr="0091446C" w:rsidRDefault="0091446C" w:rsidP="0091446C">
      <w:r w:rsidRPr="0091446C">
        <w:t>Allodynia and Anti-Allodynia Data Transformation</w:t>
      </w:r>
    </w:p>
    <w:p w14:paraId="513179C7" w14:textId="77777777" w:rsidR="0091446C" w:rsidRPr="0091446C" w:rsidRDefault="0091446C" w:rsidP="0091446C">
      <w:r w:rsidRPr="0091446C">
        <w:t>SNI- (day 7 post-surgery) and CFA- (day 3 post-injection) induced allodynia (reported in </w:t>
      </w:r>
      <w:hyperlink r:id="rId175" w:anchor="SD1" w:history="1">
        <w:r w:rsidRPr="0091446C">
          <w:rPr>
            <w:rStyle w:val="a7"/>
          </w:rPr>
          <w:t>Supplementary Fig. 10</w:t>
        </w:r>
      </w:hyperlink>
      <w:r w:rsidRPr="0091446C">
        <w:t xml:space="preserve">) was quantified as percentage of maximum possible allodynia using the formula: percentage allodynia = [(baseline threshold </w:t>
      </w:r>
      <w:r w:rsidRPr="0091446C">
        <w:rPr>
          <w:rFonts w:ascii="微软雅黑" w:eastAsia="微软雅黑" w:hAnsi="微软雅黑" w:cs="微软雅黑" w:hint="eastAsia"/>
        </w:rPr>
        <w:t>−</w:t>
      </w:r>
      <w:r w:rsidRPr="0091446C">
        <w:t xml:space="preserve"> post-injury threshold)/baseline threshold] </w:t>
      </w:r>
      <w:r w:rsidRPr="0091446C">
        <w:rPr>
          <w:rFonts w:ascii="等线" w:eastAsia="等线" w:hAnsi="等线" w:cs="等线" w:hint="eastAsia"/>
        </w:rPr>
        <w:t>×</w:t>
      </w:r>
      <w:r w:rsidRPr="0091446C">
        <w:t xml:space="preserve"> 100. Reversal of allodynia by drugs (i.e., anti-allodynia) was quantified with respect to the area under the threshold-time curve (using the trapezoidal method) over the post-injection testing period (120 min in all cases except the SB203580 experiment, which was 6 h). Data are reported as percentage of the maximum possible anti-allodynia, calculated for each mouse as a ratio of its actual anti-allodynia compared to a hypothetical situation in which the drug brought withdrawal thresholds to their original baseline at all post-injection time points.</w:t>
      </w:r>
    </w:p>
    <w:p w14:paraId="7219AF71" w14:textId="77777777" w:rsidR="0091446C" w:rsidRPr="0091446C" w:rsidRDefault="0091446C" w:rsidP="0091446C">
      <w:r w:rsidRPr="0091446C">
        <w:t>Testosterone Treatment</w:t>
      </w:r>
    </w:p>
    <w:p w14:paraId="5E6C6E52" w14:textId="77777777" w:rsidR="0091446C" w:rsidRPr="0091446C" w:rsidRDefault="0091446C" w:rsidP="0091446C">
      <w:r w:rsidRPr="0091446C">
        <w:t xml:space="preserve">Testosterone </w:t>
      </w:r>
      <w:proofErr w:type="spellStart"/>
      <w:r w:rsidRPr="0091446C">
        <w:t>proprionate</w:t>
      </w:r>
      <w:proofErr w:type="spellEnd"/>
      <w:r w:rsidRPr="0091446C">
        <w:t xml:space="preserve"> was purchased from Sigma and dissolved in polyethylene glycol. This solution was placed into an </w:t>
      </w:r>
      <w:proofErr w:type="spellStart"/>
      <w:r w:rsidRPr="0091446C">
        <w:t>Alzet</w:t>
      </w:r>
      <w:proofErr w:type="spellEnd"/>
      <w:r w:rsidRPr="0091446C">
        <w:t xml:space="preserve"> osmotic minipump (Model 2002, 0.5 </w:t>
      </w:r>
      <w:proofErr w:type="spellStart"/>
      <w:r w:rsidRPr="0091446C">
        <w:t>μl</w:t>
      </w:r>
      <w:proofErr w:type="spellEnd"/>
      <w:r w:rsidRPr="0091446C">
        <w:t xml:space="preserve">/h for 14 days) and implanted subcutaneously between the scapulae under isoflurane/oxygen anesthesia. The pump delivered an effective dose of 250 </w:t>
      </w:r>
      <w:proofErr w:type="spellStart"/>
      <w:r w:rsidRPr="0091446C">
        <w:t>μg</w:t>
      </w:r>
      <w:proofErr w:type="spellEnd"/>
      <w:r w:rsidRPr="0091446C">
        <w:t xml:space="preserve">/day, and testing began after the full 14 days of treatment. In another experiment, testosterone (2 mg/kg, </w:t>
      </w:r>
      <w:proofErr w:type="spellStart"/>
      <w:r w:rsidRPr="0091446C">
        <w:t>s.c.</w:t>
      </w:r>
      <w:proofErr w:type="spellEnd"/>
      <w:r w:rsidRPr="0091446C">
        <w:t>) was injected 48 h prior to pioglitazone.</w:t>
      </w:r>
    </w:p>
    <w:p w14:paraId="3767A425" w14:textId="67199361" w:rsidR="0091446C" w:rsidRDefault="0091446C">
      <w:pPr>
        <w:widowControl/>
        <w:jc w:val="left"/>
      </w:pPr>
      <w:r>
        <w:rPr>
          <w:rFonts w:hint="eastAsia"/>
        </w:rPr>
        <w:br w:type="page"/>
      </w:r>
    </w:p>
    <w:p w14:paraId="0713C884" w14:textId="45C64323" w:rsidR="0091446C" w:rsidRDefault="00A75605" w:rsidP="0013483A">
      <w:pPr>
        <w:rPr>
          <w:b/>
          <w:bCs/>
        </w:rPr>
      </w:pPr>
      <w:r>
        <w:rPr>
          <w:rFonts w:hint="eastAsia"/>
        </w:rPr>
        <w:lastRenderedPageBreak/>
        <w:t>24.</w:t>
      </w:r>
      <w:hyperlink r:id="rId176" w:history="1">
        <w:r w:rsidR="00D85035" w:rsidRPr="00D85035">
          <w:rPr>
            <w:rStyle w:val="a7"/>
            <w:b/>
            <w:bCs/>
          </w:rPr>
          <w:t>Autoantibodies to citrullinated proteins may induce joint pain independent of inflammation</w:t>
        </w:r>
      </w:hyperlink>
    </w:p>
    <w:p w14:paraId="2AF43245" w14:textId="77777777" w:rsidR="0091446C" w:rsidRDefault="0091446C" w:rsidP="0013483A">
      <w:pPr>
        <w:rPr>
          <w:b/>
          <w:bCs/>
        </w:rPr>
      </w:pPr>
    </w:p>
    <w:p w14:paraId="3772338F" w14:textId="3330D622" w:rsidR="00D85035" w:rsidRDefault="0091446C" w:rsidP="0013483A">
      <w:pPr>
        <w:rPr>
          <w:b/>
          <w:bCs/>
        </w:rPr>
      </w:pPr>
      <w:r w:rsidRPr="0091446C">
        <w:rPr>
          <w:b/>
          <w:bCs/>
        </w:rPr>
        <w:t>Autoantibodies to citrullinated proteins may induce joint pain independent of inflammation</w:t>
      </w:r>
    </w:p>
    <w:p w14:paraId="017C94C4" w14:textId="1FA3912F" w:rsidR="00D85035" w:rsidRDefault="00D85035" w:rsidP="0013483A">
      <w:r w:rsidRPr="00D85035">
        <w:t xml:space="preserve">Gustaf Wigerblad,1 </w:t>
      </w:r>
      <w:proofErr w:type="spellStart"/>
      <w:r w:rsidRPr="00D85035">
        <w:t>Duygu</w:t>
      </w:r>
      <w:proofErr w:type="spellEnd"/>
      <w:r w:rsidRPr="00D85035">
        <w:t xml:space="preserve"> B Bas,1 </w:t>
      </w:r>
      <w:proofErr w:type="spellStart"/>
      <w:r w:rsidRPr="00D85035">
        <w:t>Cátia</w:t>
      </w:r>
      <w:proofErr w:type="spellEnd"/>
      <w:r w:rsidRPr="00D85035">
        <w:t xml:space="preserve"> Fernades-Cerqueira,2 </w:t>
      </w:r>
      <w:proofErr w:type="spellStart"/>
      <w:r w:rsidRPr="00D85035">
        <w:t>Akilan</w:t>
      </w:r>
      <w:proofErr w:type="spellEnd"/>
      <w:r w:rsidRPr="00D85035">
        <w:t xml:space="preserve"> Krishnamurthy,2 </w:t>
      </w:r>
      <w:proofErr w:type="spellStart"/>
      <w:r w:rsidRPr="00D85035">
        <w:t>Kutty</w:t>
      </w:r>
      <w:proofErr w:type="spellEnd"/>
      <w:r w:rsidRPr="00D85035">
        <w:t xml:space="preserve"> Selva Nandakumar,3 Katarzyna Rogoz,1 </w:t>
      </w:r>
      <w:proofErr w:type="spellStart"/>
      <w:r w:rsidRPr="00D85035">
        <w:t>Jungo</w:t>
      </w:r>
      <w:proofErr w:type="spellEnd"/>
      <w:r w:rsidRPr="00D85035">
        <w:t xml:space="preserve"> Kato,1 Katalin Sandor,1 </w:t>
      </w:r>
      <w:proofErr w:type="spellStart"/>
      <w:r w:rsidRPr="00D85035">
        <w:t>Jie</w:t>
      </w:r>
      <w:proofErr w:type="spellEnd"/>
      <w:r w:rsidRPr="00D85035">
        <w:t xml:space="preserve"> Su,1 Juan Miguel Jimenez–Andrade,4 Anja Finn,1 Alex </w:t>
      </w:r>
      <w:proofErr w:type="spellStart"/>
      <w:r w:rsidRPr="00D85035">
        <w:t>Bersellini</w:t>
      </w:r>
      <w:proofErr w:type="spellEnd"/>
      <w:r w:rsidRPr="00D85035">
        <w:t xml:space="preserve"> Farinotti,1 Khaled Amara,2 Karin Lundberg,2 </w:t>
      </w:r>
      <w:proofErr w:type="spellStart"/>
      <w:r w:rsidRPr="00D85035">
        <w:t>Rikard</w:t>
      </w:r>
      <w:proofErr w:type="spellEnd"/>
      <w:r w:rsidRPr="00D85035">
        <w:t xml:space="preserve"> Holmdahl,3 Per-Johan Jakobsson,2 </w:t>
      </w:r>
      <w:proofErr w:type="spellStart"/>
      <w:r w:rsidRPr="00D85035">
        <w:t>Vivianne</w:t>
      </w:r>
      <w:proofErr w:type="spellEnd"/>
      <w:r w:rsidRPr="00D85035">
        <w:t xml:space="preserve"> Malmström,2 Anca I Catrina,2 Lars Klareskog,2 Camilla I </w:t>
      </w:r>
      <w:proofErr w:type="spellStart"/>
      <w:r w:rsidRPr="00D85035">
        <w:t>Svensson</w:t>
      </w:r>
      <w:proofErr w:type="spellEnd"/>
    </w:p>
    <w:p w14:paraId="6F52438E" w14:textId="5D607335" w:rsidR="00D85035" w:rsidRDefault="00D85035" w:rsidP="0013483A"/>
    <w:p w14:paraId="373E99A0" w14:textId="77777777" w:rsidR="00D85035" w:rsidRDefault="00D85035" w:rsidP="0013483A"/>
    <w:p w14:paraId="2CA0C1AC" w14:textId="77777777" w:rsidR="00D85035" w:rsidRDefault="00D85035" w:rsidP="0013483A"/>
    <w:p w14:paraId="3F8A35F7" w14:textId="42666A92" w:rsidR="00D85035" w:rsidRDefault="00D85035" w:rsidP="0013483A">
      <w:r>
        <w:rPr>
          <w:rFonts w:hint="eastAsia"/>
          <w:noProof/>
        </w:rPr>
        <w:drawing>
          <wp:inline distT="0" distB="0" distL="0" distR="0" wp14:anchorId="00EED8DA" wp14:editId="02B86B4E">
            <wp:extent cx="5540086" cy="3923634"/>
            <wp:effectExtent l="0" t="0" r="3810" b="1270"/>
            <wp:docPr id="210371936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548805" cy="3929809"/>
                    </a:xfrm>
                    <a:prstGeom prst="rect">
                      <a:avLst/>
                    </a:prstGeom>
                    <a:noFill/>
                  </pic:spPr>
                </pic:pic>
              </a:graphicData>
            </a:graphic>
          </wp:inline>
        </w:drawing>
      </w:r>
    </w:p>
    <w:p w14:paraId="2DD8D605" w14:textId="452CA672" w:rsidR="00D85035" w:rsidRDefault="00D85035" w:rsidP="0013483A">
      <w:r w:rsidRPr="00D85035">
        <w:t xml:space="preserve">Effect of </w:t>
      </w:r>
      <w:proofErr w:type="spellStart"/>
      <w:r w:rsidRPr="00D85035">
        <w:t>reparixin</w:t>
      </w:r>
      <w:proofErr w:type="spellEnd"/>
      <w:r w:rsidRPr="00D85035">
        <w:t xml:space="preserve"> on ACPA-induced hypersensitivity. Mechanical hypersensitivity after injection of CXCL1 (30</w:t>
      </w:r>
      <w:r w:rsidRPr="00D85035">
        <w:rPr>
          <w:rFonts w:ascii="MS Gothic" w:eastAsia="MS Gothic" w:hAnsi="MS Gothic" w:cs="MS Gothic" w:hint="eastAsia"/>
        </w:rPr>
        <w:t> </w:t>
      </w:r>
      <w:r w:rsidRPr="00D85035">
        <w:t>ng, n=7), CXCL2 (30</w:t>
      </w:r>
      <w:r w:rsidRPr="00D85035">
        <w:rPr>
          <w:rFonts w:ascii="MS Gothic" w:eastAsia="MS Gothic" w:hAnsi="MS Gothic" w:cs="MS Gothic" w:hint="eastAsia"/>
        </w:rPr>
        <w:t> </w:t>
      </w:r>
      <w:r w:rsidRPr="00D85035">
        <w:t>ng, n=7) or mixed CXCL1/2 (15</w:t>
      </w:r>
      <w:r w:rsidRPr="00D85035">
        <w:rPr>
          <w:rFonts w:ascii="MS Gothic" w:eastAsia="MS Gothic" w:hAnsi="MS Gothic" w:cs="MS Gothic" w:hint="eastAsia"/>
        </w:rPr>
        <w:t> </w:t>
      </w:r>
      <w:r w:rsidRPr="00D85035">
        <w:t>ng each, n=10) or saline (n=20) into the ankle joint (A). Mechanical sensitivity after intravenous injection of mouse monoclonal ACPA D10 and B2 (1</w:t>
      </w:r>
      <w:r w:rsidRPr="00D85035">
        <w:rPr>
          <w:rFonts w:ascii="MS Gothic" w:eastAsia="MS Gothic" w:hAnsi="MS Gothic" w:cs="MS Gothic" w:hint="eastAsia"/>
        </w:rPr>
        <w:t> </w:t>
      </w:r>
      <w:r w:rsidRPr="00D85035">
        <w:t xml:space="preserve">mg each, n=18) or saline (n=9) and treatment with </w:t>
      </w:r>
      <w:proofErr w:type="spellStart"/>
      <w:r w:rsidRPr="00D85035">
        <w:t>reparixin</w:t>
      </w:r>
      <w:proofErr w:type="spellEnd"/>
      <w:r w:rsidRPr="00D85035">
        <w:t xml:space="preserve"> (30</w:t>
      </w:r>
      <w:r w:rsidRPr="00D85035">
        <w:rPr>
          <w:rFonts w:ascii="MS Gothic" w:eastAsia="MS Gothic" w:hAnsi="MS Gothic" w:cs="MS Gothic" w:hint="eastAsia"/>
        </w:rPr>
        <w:t> </w:t>
      </w:r>
      <w:r w:rsidRPr="00D85035">
        <w:t xml:space="preserve">mg/kg/day, </w:t>
      </w:r>
      <w:proofErr w:type="spellStart"/>
      <w:r w:rsidRPr="00D85035">
        <w:t>s.c.</w:t>
      </w:r>
      <w:proofErr w:type="spellEnd"/>
      <w:r w:rsidRPr="00D85035">
        <w:t xml:space="preserve">, n=9) or saline (n=9) for 6 days, starting on day 6 (B). </w:t>
      </w:r>
      <w:proofErr w:type="spellStart"/>
      <w:r w:rsidRPr="00D85035">
        <w:t>Hyperalgesic</w:t>
      </w:r>
      <w:proofErr w:type="spellEnd"/>
      <w:r w:rsidRPr="00D85035">
        <w:t xml:space="preserve"> index comparing area under the curve for </w:t>
      </w:r>
      <w:proofErr w:type="spellStart"/>
      <w:r w:rsidRPr="00D85035">
        <w:t>reparixin</w:t>
      </w:r>
      <w:proofErr w:type="spellEnd"/>
      <w:r w:rsidRPr="00D85035">
        <w:t xml:space="preserve">-treated or saline-treated mice from day 6 (C). Cold (D) and heat (E) sensitivity were tested on days 19 and 26, respectively. Results are from two separate experiments. Statistical significance (two-way analysis of variance (ANOVA)) between </w:t>
      </w:r>
      <w:proofErr w:type="spellStart"/>
      <w:r w:rsidRPr="00D85035">
        <w:t>mACPA</w:t>
      </w:r>
      <w:proofErr w:type="spellEnd"/>
      <w:r w:rsidRPr="00D85035">
        <w:t xml:space="preserve">/saline and saline is marked by # and difference between </w:t>
      </w:r>
      <w:proofErr w:type="spellStart"/>
      <w:r w:rsidRPr="00D85035">
        <w:t>mACPA</w:t>
      </w:r>
      <w:proofErr w:type="spellEnd"/>
      <w:r w:rsidRPr="00D85035">
        <w:t xml:space="preserve">/saline and </w:t>
      </w:r>
      <w:proofErr w:type="spellStart"/>
      <w:r w:rsidRPr="00D85035">
        <w:t>mACPA</w:t>
      </w:r>
      <w:proofErr w:type="spellEnd"/>
      <w:r w:rsidRPr="00D85035">
        <w:t>/</w:t>
      </w:r>
      <w:proofErr w:type="spellStart"/>
      <w:r w:rsidRPr="00D85035">
        <w:t>reparixin</w:t>
      </w:r>
      <w:proofErr w:type="spellEnd"/>
      <w:r w:rsidRPr="00D85035">
        <w:t xml:space="preserve"> is marked with * (A). Mechanical sensitivity of mice injected with either saline (n=5) or </w:t>
      </w:r>
      <w:proofErr w:type="spellStart"/>
      <w:r w:rsidRPr="00D85035">
        <w:t>reparixin</w:t>
      </w:r>
      <w:proofErr w:type="spellEnd"/>
      <w:r w:rsidRPr="00D85035">
        <w:t xml:space="preserve"> (30</w:t>
      </w:r>
      <w:r w:rsidRPr="00D85035">
        <w:rPr>
          <w:rFonts w:ascii="MS Gothic" w:eastAsia="MS Gothic" w:hAnsi="MS Gothic" w:cs="MS Gothic" w:hint="eastAsia"/>
        </w:rPr>
        <w:t> </w:t>
      </w:r>
      <w:r w:rsidRPr="00D85035">
        <w:t xml:space="preserve">mg/kg/day, </w:t>
      </w:r>
      <w:proofErr w:type="spellStart"/>
      <w:r w:rsidRPr="00D85035">
        <w:t>s.c.</w:t>
      </w:r>
      <w:proofErr w:type="spellEnd"/>
      <w:r w:rsidRPr="00D85035">
        <w:t xml:space="preserve">, n=5) on </w:t>
      </w:r>
      <w:r w:rsidRPr="00D85035">
        <w:lastRenderedPageBreak/>
        <w:t>day 6</w:t>
      </w:r>
      <w:r w:rsidRPr="00D85035">
        <w:rPr>
          <w:rFonts w:ascii="等线" w:eastAsia="等线" w:hAnsi="等线" w:cs="等线" w:hint="eastAsia"/>
        </w:rPr>
        <w:t>–</w:t>
      </w:r>
      <w:r w:rsidRPr="00D85035">
        <w:t>12 (E). Data are presented as mean</w:t>
      </w:r>
      <w:r w:rsidRPr="00D85035">
        <w:rPr>
          <w:rFonts w:ascii="等线" w:eastAsia="等线" w:hAnsi="等线" w:cs="等线" w:hint="eastAsia"/>
        </w:rPr>
        <w:t>±</w:t>
      </w:r>
      <w:r w:rsidRPr="00D85035">
        <w:t>SEM. * or </w:t>
      </w:r>
      <w:r w:rsidRPr="00D85035">
        <w:rPr>
          <w:vertAlign w:val="superscript"/>
        </w:rPr>
        <w:t>#</w:t>
      </w:r>
      <w:r w:rsidRPr="00D85035">
        <w:t>p&lt;0.05, **p&lt;0.01 and </w:t>
      </w:r>
    </w:p>
    <w:p w14:paraId="7694CA95" w14:textId="0654D40C" w:rsidR="007875AE" w:rsidRDefault="007875AE">
      <w:pPr>
        <w:widowControl/>
        <w:jc w:val="left"/>
      </w:pPr>
      <w:r>
        <w:rPr>
          <w:rFonts w:hint="eastAsia"/>
        </w:rPr>
        <w:br w:type="page"/>
      </w:r>
    </w:p>
    <w:p w14:paraId="5FDAD9F2" w14:textId="0ED66DB0" w:rsidR="00D85035" w:rsidRDefault="00A75605" w:rsidP="0013483A">
      <w:r>
        <w:rPr>
          <w:rFonts w:hint="eastAsia"/>
        </w:rPr>
        <w:lastRenderedPageBreak/>
        <w:t>25.</w:t>
      </w:r>
      <w:hyperlink r:id="rId178" w:history="1">
        <w:r w:rsidR="007875AE" w:rsidRPr="007875AE">
          <w:rPr>
            <w:rStyle w:val="a7"/>
          </w:rPr>
          <w:t>Significant Determinants of Mouse Pain Behaviour - PMC</w:t>
        </w:r>
      </w:hyperlink>
    </w:p>
    <w:p w14:paraId="42ED088B" w14:textId="77777777" w:rsidR="007875AE" w:rsidRDefault="007875AE" w:rsidP="0013483A"/>
    <w:p w14:paraId="2F440F14" w14:textId="77777777" w:rsidR="007875AE" w:rsidRPr="007875AE" w:rsidRDefault="007875AE" w:rsidP="007875AE">
      <w:pPr>
        <w:rPr>
          <w:b/>
          <w:bCs/>
        </w:rPr>
      </w:pPr>
      <w:r w:rsidRPr="007875AE">
        <w:rPr>
          <w:rFonts w:hint="eastAsia"/>
          <w:b/>
          <w:bCs/>
        </w:rPr>
        <w:t xml:space="preserve">Significant Determinants of Mouse Pain </w:t>
      </w:r>
      <w:proofErr w:type="spellStart"/>
      <w:r w:rsidRPr="007875AE">
        <w:rPr>
          <w:rFonts w:hint="eastAsia"/>
          <w:b/>
          <w:bCs/>
        </w:rPr>
        <w:t>Behaviour</w:t>
      </w:r>
      <w:proofErr w:type="spellEnd"/>
    </w:p>
    <w:p w14:paraId="762235F5" w14:textId="2C3B0335" w:rsidR="007875AE" w:rsidRDefault="007875AE" w:rsidP="007875AE">
      <w:r>
        <w:rPr>
          <w:rFonts w:hint="eastAsia"/>
        </w:rPr>
        <w:t xml:space="preserve">Michael S </w:t>
      </w:r>
      <w:proofErr w:type="spellStart"/>
      <w:r>
        <w:rPr>
          <w:rFonts w:hint="eastAsia"/>
        </w:rPr>
        <w:t>Minett</w:t>
      </w:r>
      <w:proofErr w:type="spellEnd"/>
      <w:r>
        <w:rPr>
          <w:rFonts w:hint="eastAsia"/>
        </w:rPr>
        <w:t xml:space="preserve"> 1, Niels </w:t>
      </w:r>
      <w:proofErr w:type="spellStart"/>
      <w:r>
        <w:rPr>
          <w:rFonts w:hint="eastAsia"/>
        </w:rPr>
        <w:t>Eijkelkamp</w:t>
      </w:r>
      <w:proofErr w:type="spellEnd"/>
      <w:r>
        <w:rPr>
          <w:rFonts w:hint="eastAsia"/>
        </w:rPr>
        <w:t xml:space="preserve"> 1,2, John N Wood</w:t>
      </w:r>
    </w:p>
    <w:p w14:paraId="1A9511D7" w14:textId="77777777" w:rsidR="007875AE" w:rsidRDefault="007875AE" w:rsidP="007875AE"/>
    <w:p w14:paraId="4388BFCC" w14:textId="69FAF71B" w:rsidR="007875AE" w:rsidRDefault="007875AE" w:rsidP="007875AE">
      <w:r>
        <w:rPr>
          <w:rFonts w:hint="eastAsia"/>
          <w:noProof/>
        </w:rPr>
        <w:drawing>
          <wp:inline distT="0" distB="0" distL="0" distR="0" wp14:anchorId="689BCD8D" wp14:editId="49780896">
            <wp:extent cx="5418859" cy="3536285"/>
            <wp:effectExtent l="0" t="0" r="0" b="7620"/>
            <wp:docPr id="535711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26580" cy="3541324"/>
                    </a:xfrm>
                    <a:prstGeom prst="rect">
                      <a:avLst/>
                    </a:prstGeom>
                    <a:noFill/>
                  </pic:spPr>
                </pic:pic>
              </a:graphicData>
            </a:graphic>
          </wp:inline>
        </w:drawing>
      </w:r>
    </w:p>
    <w:p w14:paraId="7A0C005E" w14:textId="760CB48E" w:rsidR="007875AE" w:rsidRDefault="007875AE" w:rsidP="007875AE">
      <w:r w:rsidRPr="007875AE">
        <w:t>Nav1.7</w:t>
      </w:r>
      <w:r w:rsidRPr="007875AE">
        <w:rPr>
          <w:vertAlign w:val="superscript"/>
        </w:rPr>
        <w:t>Nav1.8</w:t>
      </w:r>
      <w:r w:rsidRPr="007875AE">
        <w:t> mice (blue columns,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7), Nav1.7</w:t>
      </w:r>
      <w:r w:rsidRPr="007875AE">
        <w:rPr>
          <w:vertAlign w:val="superscript"/>
        </w:rPr>
        <w:t>Advill</w:t>
      </w:r>
      <w:r w:rsidRPr="007875AE">
        <w:t> mice (red column,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9) and Nav1.7</w:t>
      </w:r>
      <w:r w:rsidRPr="007875AE">
        <w:rPr>
          <w:vertAlign w:val="superscript"/>
        </w:rPr>
        <w:t>Wnt1</w:t>
      </w:r>
      <w:r w:rsidRPr="007875AE">
        <w:t> mice (green column,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9) mice show normal responses to von Frey hairs applied using either the up-down method (</w:t>
      </w:r>
      <w:r w:rsidRPr="007875AE">
        <w:rPr>
          <w:b/>
          <w:bCs/>
        </w:rPr>
        <w:t>a</w:t>
      </w:r>
      <w:r w:rsidRPr="007875AE">
        <w:t>) or the repeated measures method in comparison to littermate mice (white columns,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36). (</w:t>
      </w:r>
      <w:r w:rsidRPr="007875AE">
        <w:rPr>
          <w:b/>
          <w:bCs/>
        </w:rPr>
        <w:t>b</w:t>
      </w:r>
      <w:r w:rsidRPr="007875AE">
        <w:t>). Both Nav1.7</w:t>
      </w:r>
      <w:r w:rsidRPr="007875AE">
        <w:rPr>
          <w:vertAlign w:val="superscript"/>
        </w:rPr>
        <w:t>Advill</w:t>
      </w:r>
      <w:r w:rsidRPr="007875AE">
        <w:t> mice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9) and Nav1.7</w:t>
      </w:r>
      <w:r w:rsidRPr="007875AE">
        <w:rPr>
          <w:vertAlign w:val="superscript"/>
        </w:rPr>
        <w:t>Wnt1</w:t>
      </w:r>
      <w:r w:rsidRPr="007875AE">
        <w:t> mice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 xml:space="preserve">9) show a </w:t>
      </w:r>
      <w:proofErr w:type="spellStart"/>
      <w:r w:rsidRPr="007875AE">
        <w:t>behavioural</w:t>
      </w:r>
      <w:proofErr w:type="spellEnd"/>
      <w:r w:rsidRPr="007875AE">
        <w:t xml:space="preserve"> deficit in response to the abdominal von Frey test in comparison to Nav1.7</w:t>
      </w:r>
      <w:r w:rsidRPr="007875AE">
        <w:rPr>
          <w:vertAlign w:val="superscript"/>
        </w:rPr>
        <w:t>Nav1.8</w:t>
      </w:r>
      <w:r w:rsidRPr="007875AE">
        <w:t> mice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7) and littermate mice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36) (</w:t>
      </w:r>
      <w:r w:rsidRPr="007875AE">
        <w:rPr>
          <w:b/>
          <w:bCs/>
        </w:rPr>
        <w:t>c</w:t>
      </w:r>
      <w:r w:rsidRPr="007875AE">
        <w:t>). The abdomens of C57BL/6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 xml:space="preserve">12) mice are significantly more sensitive than the plantar surface of the </w:t>
      </w:r>
      <w:proofErr w:type="spellStart"/>
      <w:r w:rsidRPr="007875AE">
        <w:t>hindpaw</w:t>
      </w:r>
      <w:proofErr w:type="spellEnd"/>
      <w:r w:rsidRPr="007875AE">
        <w:t xml:space="preserve"> (</w:t>
      </w:r>
      <w:r w:rsidRPr="007875AE">
        <w:rPr>
          <w:b/>
          <w:bCs/>
        </w:rPr>
        <w:t>d</w:t>
      </w:r>
      <w:r w:rsidRPr="007875AE">
        <w:t>), which is loss if the abdomen is shaved (</w:t>
      </w:r>
      <w:r w:rsidRPr="007875AE">
        <w:rPr>
          <w:b/>
          <w:bCs/>
        </w:rPr>
        <w:t>e</w:t>
      </w:r>
      <w:r w:rsidRPr="007875AE">
        <w:t>). Shaving the abdominal hair attenuates the sensitivity to von Frey hair stimulation of Nav1.7</w:t>
      </w:r>
      <w:r w:rsidRPr="007875AE">
        <w:rPr>
          <w:vertAlign w:val="superscript"/>
        </w:rPr>
        <w:t>Nav1.8</w:t>
      </w:r>
      <w:r w:rsidRPr="007875AE">
        <w:t>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10) and littermate mice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21) but has no effect of Nav1.7</w:t>
      </w:r>
      <w:r w:rsidRPr="007875AE">
        <w:rPr>
          <w:vertAlign w:val="superscript"/>
        </w:rPr>
        <w:t>Advill</w:t>
      </w:r>
      <w:r w:rsidRPr="007875AE">
        <w:t>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7) or Nav1.7</w:t>
      </w:r>
      <w:r w:rsidRPr="007875AE">
        <w:rPr>
          <w:vertAlign w:val="superscript"/>
        </w:rPr>
        <w:t>Wnt1</w:t>
      </w:r>
      <w:r w:rsidRPr="007875AE">
        <w:t> mice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11) (</w:t>
      </w:r>
      <w:r w:rsidRPr="007875AE">
        <w:rPr>
          <w:b/>
          <w:bCs/>
        </w:rPr>
        <w:t>f</w:t>
      </w:r>
      <w:r w:rsidRPr="007875AE">
        <w:t>). Nav1.7</w:t>
      </w:r>
      <w:r w:rsidRPr="007875AE">
        <w:rPr>
          <w:vertAlign w:val="superscript"/>
        </w:rPr>
        <w:t>Nav1.8</w:t>
      </w:r>
      <w:r w:rsidRPr="007875AE">
        <w:t>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14), Nav1.7</w:t>
      </w:r>
      <w:r w:rsidRPr="007875AE">
        <w:rPr>
          <w:vertAlign w:val="superscript"/>
        </w:rPr>
        <w:t>Advill</w:t>
      </w:r>
      <w:r w:rsidRPr="007875AE">
        <w:t>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8) Nav1.7</w:t>
      </w:r>
      <w:r w:rsidRPr="007875AE">
        <w:rPr>
          <w:vertAlign w:val="superscript"/>
        </w:rPr>
        <w:t>Wnt1</w:t>
      </w:r>
      <w:r w:rsidRPr="007875AE">
        <w:t>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9) show a significant increase withdrawal threshold in response to the Randall-</w:t>
      </w:r>
      <w:proofErr w:type="spellStart"/>
      <w:r w:rsidRPr="007875AE">
        <w:t>Siletto</w:t>
      </w:r>
      <w:proofErr w:type="spellEnd"/>
      <w:r w:rsidRPr="007875AE">
        <w:t xml:space="preserve"> test when applied to the tail but not the paw when compared to littermate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26) mice (</w:t>
      </w:r>
      <w:r w:rsidRPr="007875AE">
        <w:rPr>
          <w:b/>
          <w:bCs/>
        </w:rPr>
        <w:t>g</w:t>
      </w:r>
      <w:r w:rsidRPr="007875AE">
        <w:t>). Nav1.8KO (light blue column,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11) and Nav1.9KO (turquoise column,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 xml:space="preserve">8) but </w:t>
      </w:r>
      <w:r w:rsidRPr="007875AE">
        <w:lastRenderedPageBreak/>
        <w:t>not Nav1.3KO (yellow column,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6) show a significant increase withdrawal threshold in response to the Randall-</w:t>
      </w:r>
      <w:proofErr w:type="spellStart"/>
      <w:r w:rsidRPr="007875AE">
        <w:t>Siletto</w:t>
      </w:r>
      <w:proofErr w:type="spellEnd"/>
      <w:r w:rsidRPr="007875AE">
        <w:t xml:space="preserve"> test when applied to the tail when compared to littermate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27) mice, however no difference is seen when applied to the paw (</w:t>
      </w:r>
      <w:r w:rsidRPr="007875AE">
        <w:rPr>
          <w:b/>
          <w:bCs/>
        </w:rPr>
        <w:t>h</w:t>
      </w:r>
      <w:r w:rsidRPr="007875AE">
        <w:t>). TRPA1 KO mice (pink columns,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 xml:space="preserve">8) show a </w:t>
      </w:r>
      <w:proofErr w:type="spellStart"/>
      <w:r w:rsidRPr="007875AE">
        <w:t>behavioural</w:t>
      </w:r>
      <w:proofErr w:type="spellEnd"/>
      <w:r w:rsidRPr="007875AE">
        <w:t xml:space="preserve"> deficit to Randall-</w:t>
      </w:r>
      <w:proofErr w:type="spellStart"/>
      <w:r w:rsidRPr="007875AE">
        <w:t>Selitto</w:t>
      </w:r>
      <w:proofErr w:type="spellEnd"/>
      <w:r w:rsidRPr="007875AE">
        <w:t xml:space="preserve"> test applied to the paw but not tail in comparison to littermate mice (white columns,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8) (</w:t>
      </w:r>
      <w:proofErr w:type="spellStart"/>
      <w:r w:rsidRPr="007875AE">
        <w:rPr>
          <w:b/>
          <w:bCs/>
        </w:rPr>
        <w:t>i</w:t>
      </w:r>
      <w:proofErr w:type="spellEnd"/>
      <w:r w:rsidRPr="007875AE">
        <w:t xml:space="preserve">). Data </w:t>
      </w:r>
      <w:proofErr w:type="spellStart"/>
      <w:r w:rsidRPr="007875AE">
        <w:t>analysed</w:t>
      </w:r>
      <w:proofErr w:type="spellEnd"/>
      <w:r w:rsidRPr="007875AE">
        <w:t xml:space="preserve"> by two-way analysis of variance followed by a Bonferroni post-hoc test. Results are presented as mean ± S.E.M. ** </w:t>
      </w:r>
      <w:r w:rsidRPr="007875AE">
        <w:rPr>
          <w:i/>
          <w:iCs/>
        </w:rPr>
        <w:t>P</w:t>
      </w:r>
      <w:r w:rsidRPr="007875AE">
        <w:t>&lt;0.01 and *** </w:t>
      </w:r>
      <w:r w:rsidRPr="007875AE">
        <w:rPr>
          <w:i/>
          <w:iCs/>
        </w:rPr>
        <w:t>P</w:t>
      </w:r>
      <w:r w:rsidRPr="007875AE">
        <w:t>&lt;0.001 (individual points).</w:t>
      </w:r>
    </w:p>
    <w:p w14:paraId="10D00261" w14:textId="77777777" w:rsidR="007875AE" w:rsidRDefault="007875AE" w:rsidP="007875AE"/>
    <w:p w14:paraId="4519359D" w14:textId="54C4AEEE" w:rsidR="007875AE" w:rsidRDefault="007875AE" w:rsidP="007875AE">
      <w:r>
        <w:rPr>
          <w:rFonts w:hint="eastAsia"/>
          <w:noProof/>
        </w:rPr>
        <w:drawing>
          <wp:inline distT="0" distB="0" distL="0" distR="0" wp14:anchorId="66374246" wp14:editId="72E91F9F">
            <wp:extent cx="6136698" cy="1506044"/>
            <wp:effectExtent l="0" t="0" r="0" b="0"/>
            <wp:docPr id="24566197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49729" cy="1509242"/>
                    </a:xfrm>
                    <a:prstGeom prst="rect">
                      <a:avLst/>
                    </a:prstGeom>
                    <a:noFill/>
                  </pic:spPr>
                </pic:pic>
              </a:graphicData>
            </a:graphic>
          </wp:inline>
        </w:drawing>
      </w:r>
    </w:p>
    <w:p w14:paraId="628C2D99" w14:textId="016F309D" w:rsidR="007875AE" w:rsidRDefault="007875AE" w:rsidP="007875AE">
      <w:proofErr w:type="spellStart"/>
      <w:r w:rsidRPr="007875AE">
        <w:t>Behavioural</w:t>
      </w:r>
      <w:proofErr w:type="spellEnd"/>
      <w:r w:rsidRPr="007875AE">
        <w:t xml:space="preserve"> responses of different Nav1.7 tissue-specific knockouts to the Hargreaves test applied to the </w:t>
      </w:r>
      <w:proofErr w:type="spellStart"/>
      <w:r w:rsidRPr="007875AE">
        <w:t>hindpaw</w:t>
      </w:r>
      <w:proofErr w:type="spellEnd"/>
      <w:r w:rsidRPr="007875AE">
        <w:t>. (</w:t>
      </w:r>
      <w:r w:rsidRPr="007875AE">
        <w:rPr>
          <w:b/>
          <w:bCs/>
        </w:rPr>
        <w:t>a</w:t>
      </w:r>
      <w:r w:rsidRPr="007875AE">
        <w:t>) Nav1.7</w:t>
      </w:r>
      <w:r w:rsidRPr="007875AE">
        <w:rPr>
          <w:vertAlign w:val="superscript"/>
        </w:rPr>
        <w:t>Nav1.8</w:t>
      </w:r>
      <w:r w:rsidRPr="007875AE">
        <w:t> mice (blue columns,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14), Nav1.7</w:t>
      </w:r>
      <w:r w:rsidRPr="007875AE">
        <w:rPr>
          <w:vertAlign w:val="superscript"/>
        </w:rPr>
        <w:t>Advill</w:t>
      </w:r>
      <w:r w:rsidRPr="007875AE">
        <w:t> mice (red column,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7) and Nav1.7</w:t>
      </w:r>
      <w:r w:rsidRPr="007875AE">
        <w:rPr>
          <w:vertAlign w:val="superscript"/>
        </w:rPr>
        <w:t>Wnt1</w:t>
      </w:r>
      <w:r w:rsidRPr="007875AE">
        <w:t> mice (green column,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 xml:space="preserve">12) all show a </w:t>
      </w:r>
      <w:proofErr w:type="spellStart"/>
      <w:r w:rsidRPr="007875AE">
        <w:t>behavioural</w:t>
      </w:r>
      <w:proofErr w:type="spellEnd"/>
      <w:r w:rsidRPr="007875AE">
        <w:t xml:space="preserve"> deficit in response to the Hargreaves test at a heat ramp of 0.6</w:t>
      </w:r>
      <w:r w:rsidRPr="007875AE">
        <w:rPr>
          <w:rFonts w:ascii="等线" w:eastAsia="等线" w:hAnsi="等线" w:cs="等线" w:hint="eastAsia"/>
        </w:rPr>
        <w:t>°</w:t>
      </w:r>
      <w:r w:rsidRPr="007875AE">
        <w:t>C.s</w:t>
      </w:r>
      <w:r w:rsidRPr="007875AE">
        <w:rPr>
          <w:rFonts w:ascii="微软雅黑" w:eastAsia="微软雅黑" w:hAnsi="微软雅黑" w:cs="微软雅黑" w:hint="eastAsia"/>
          <w:vertAlign w:val="superscript"/>
        </w:rPr>
        <w:t>−</w:t>
      </w:r>
      <w:r w:rsidRPr="007875AE">
        <w:rPr>
          <w:vertAlign w:val="superscript"/>
        </w:rPr>
        <w:t>1</w:t>
      </w:r>
      <w:r w:rsidRPr="007875AE">
        <w:t> in comparison to littermate mice (white columns,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27), however only Nav1.7</w:t>
      </w:r>
      <w:r w:rsidRPr="007875AE">
        <w:rPr>
          <w:vertAlign w:val="superscript"/>
        </w:rPr>
        <w:t>Advill</w:t>
      </w:r>
      <w:r w:rsidRPr="007875AE">
        <w:t> and Nav1.7</w:t>
      </w:r>
      <w:r w:rsidRPr="007875AE">
        <w:rPr>
          <w:vertAlign w:val="superscript"/>
        </w:rPr>
        <w:t>Wnt1</w:t>
      </w:r>
      <w:r w:rsidRPr="007875AE">
        <w:t xml:space="preserve"> mice show a </w:t>
      </w:r>
      <w:proofErr w:type="spellStart"/>
      <w:r w:rsidRPr="007875AE">
        <w:t>behavioural</w:t>
      </w:r>
      <w:proofErr w:type="spellEnd"/>
      <w:r w:rsidRPr="007875AE">
        <w:t xml:space="preserve"> deficit in response to the Hargreaves test at a heat ramp of 2.0°C.s</w:t>
      </w:r>
      <w:r w:rsidRPr="007875AE">
        <w:rPr>
          <w:rFonts w:ascii="微软雅黑" w:eastAsia="微软雅黑" w:hAnsi="微软雅黑" w:cs="微软雅黑" w:hint="eastAsia"/>
          <w:vertAlign w:val="superscript"/>
        </w:rPr>
        <w:t>−</w:t>
      </w:r>
      <w:r w:rsidRPr="007875AE">
        <w:rPr>
          <w:vertAlign w:val="superscript"/>
        </w:rPr>
        <w:t>1</w:t>
      </w:r>
      <w:r w:rsidRPr="007875AE">
        <w:t>. (</w:t>
      </w:r>
      <w:r w:rsidRPr="007875AE">
        <w:rPr>
          <w:b/>
          <w:bCs/>
        </w:rPr>
        <w:t>b</w:t>
      </w:r>
      <w:r w:rsidRPr="007875AE">
        <w:t>) Nav1.8KO mice (light blue column,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6) and Nav1.9KO mice (turquoise column,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10) but not Nav1.3KO mice (orange column,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6) show a significantly increased withdrawal latency to the Hargreaves test at a heat ramp of 0.6</w:t>
      </w:r>
      <w:r w:rsidRPr="007875AE">
        <w:rPr>
          <w:rFonts w:ascii="等线" w:eastAsia="等线" w:hAnsi="等线" w:cs="等线" w:hint="eastAsia"/>
        </w:rPr>
        <w:t>°</w:t>
      </w:r>
      <w:r w:rsidRPr="007875AE">
        <w:t>C.s</w:t>
      </w:r>
      <w:r w:rsidRPr="007875AE">
        <w:rPr>
          <w:rFonts w:ascii="微软雅黑" w:eastAsia="微软雅黑" w:hAnsi="微软雅黑" w:cs="微软雅黑" w:hint="eastAsia"/>
          <w:vertAlign w:val="superscript"/>
        </w:rPr>
        <w:t>−</w:t>
      </w:r>
      <w:r w:rsidRPr="007875AE">
        <w:rPr>
          <w:vertAlign w:val="superscript"/>
        </w:rPr>
        <w:t>1</w:t>
      </w:r>
      <w:r w:rsidRPr="007875AE">
        <w:t> in comparison to littermate mice (white columns, n</w:t>
      </w:r>
      <w:r w:rsidRPr="007875AE">
        <w:rPr>
          <w:rFonts w:ascii="微软雅黑" w:eastAsia="微软雅黑" w:hAnsi="微软雅黑" w:cs="微软雅黑" w:hint="eastAsia"/>
        </w:rPr>
        <w:t> </w:t>
      </w:r>
      <w:r w:rsidRPr="007875AE">
        <w:t>=</w:t>
      </w:r>
      <w:r w:rsidRPr="007875AE">
        <w:rPr>
          <w:rFonts w:ascii="微软雅黑" w:eastAsia="微软雅黑" w:hAnsi="微软雅黑" w:cs="微软雅黑" w:hint="eastAsia"/>
        </w:rPr>
        <w:t> </w:t>
      </w:r>
      <w:r w:rsidRPr="007875AE">
        <w:t>18), however this significant increase is lost the when the Hargreaves test is conducted using a heat ramp of 2.0</w:t>
      </w:r>
      <w:r w:rsidRPr="007875AE">
        <w:rPr>
          <w:rFonts w:ascii="等线" w:eastAsia="等线" w:hAnsi="等线" w:cs="等线" w:hint="eastAsia"/>
        </w:rPr>
        <w:t>°</w:t>
      </w:r>
      <w:r w:rsidRPr="007875AE">
        <w:t>C.s</w:t>
      </w:r>
      <w:r w:rsidRPr="007875AE">
        <w:rPr>
          <w:rFonts w:ascii="微软雅黑" w:eastAsia="微软雅黑" w:hAnsi="微软雅黑" w:cs="微软雅黑" w:hint="eastAsia"/>
          <w:vertAlign w:val="superscript"/>
        </w:rPr>
        <w:t>−</w:t>
      </w:r>
      <w:r w:rsidRPr="007875AE">
        <w:rPr>
          <w:vertAlign w:val="superscript"/>
        </w:rPr>
        <w:t>1</w:t>
      </w:r>
      <w:r w:rsidRPr="007875AE">
        <w:t xml:space="preserve">. Data </w:t>
      </w:r>
      <w:proofErr w:type="spellStart"/>
      <w:r w:rsidRPr="007875AE">
        <w:t>analysed</w:t>
      </w:r>
      <w:proofErr w:type="spellEnd"/>
      <w:r w:rsidRPr="007875AE">
        <w:t xml:space="preserve"> by two-way analysis of variance followed by a Bonferroni post-hoc test. Results are presented as mean ± S.E.M. * </w:t>
      </w:r>
      <w:r w:rsidRPr="007875AE">
        <w:rPr>
          <w:i/>
          <w:iCs/>
        </w:rPr>
        <w:t>P</w:t>
      </w:r>
      <w:r w:rsidRPr="007875AE">
        <w:t>&lt;0.05 and *** </w:t>
      </w:r>
      <w:r w:rsidRPr="007875AE">
        <w:rPr>
          <w:i/>
          <w:iCs/>
        </w:rPr>
        <w:t>P</w:t>
      </w:r>
      <w:r w:rsidRPr="007875AE">
        <w:t>&lt;0.001 (individual points).</w:t>
      </w:r>
    </w:p>
    <w:p w14:paraId="00BF5FE3" w14:textId="77777777" w:rsidR="007875AE" w:rsidRDefault="007875AE" w:rsidP="007875AE"/>
    <w:p w14:paraId="2BC914F0" w14:textId="158F5D02" w:rsidR="007875AE" w:rsidRDefault="007875AE" w:rsidP="007875AE">
      <w:r>
        <w:rPr>
          <w:rFonts w:hint="eastAsia"/>
          <w:noProof/>
        </w:rPr>
        <w:lastRenderedPageBreak/>
        <w:drawing>
          <wp:inline distT="0" distB="0" distL="0" distR="0" wp14:anchorId="2FFAAF7D" wp14:editId="64ACD14C">
            <wp:extent cx="6024995" cy="2141191"/>
            <wp:effectExtent l="0" t="0" r="0" b="0"/>
            <wp:docPr id="180540685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033692" cy="2144282"/>
                    </a:xfrm>
                    <a:prstGeom prst="rect">
                      <a:avLst/>
                    </a:prstGeom>
                    <a:noFill/>
                  </pic:spPr>
                </pic:pic>
              </a:graphicData>
            </a:graphic>
          </wp:inline>
        </w:drawing>
      </w:r>
    </w:p>
    <w:p w14:paraId="221EBF8E" w14:textId="53CF586F" w:rsidR="007875AE" w:rsidRDefault="007875AE" w:rsidP="007875AE">
      <w:r>
        <w:rPr>
          <w:rFonts w:hint="eastAsia"/>
        </w:rPr>
        <w:t>（a）</w:t>
      </w:r>
      <w:proofErr w:type="spellStart"/>
      <w:r w:rsidRPr="007875AE">
        <w:t>Behavioural</w:t>
      </w:r>
      <w:proofErr w:type="spellEnd"/>
      <w:r w:rsidRPr="007875AE">
        <w:t xml:space="preserve"> responses of C57BL/6 mice to the von Frey hairs applied to the </w:t>
      </w:r>
      <w:proofErr w:type="spellStart"/>
      <w:r w:rsidRPr="007875AE">
        <w:t>hindpaw</w:t>
      </w:r>
      <w:proofErr w:type="spellEnd"/>
      <w:r w:rsidRPr="007875AE">
        <w:t xml:space="preserve"> over a 24 h period. Measurements were taken every 4 hours starting at 07:00. (</w:t>
      </w:r>
      <w:r w:rsidRPr="007875AE">
        <w:rPr>
          <w:b/>
          <w:bCs/>
        </w:rPr>
        <w:t>b</w:t>
      </w:r>
      <w:r w:rsidRPr="007875AE">
        <w:t xml:space="preserve">) </w:t>
      </w:r>
      <w:proofErr w:type="spellStart"/>
      <w:r w:rsidRPr="007875AE">
        <w:t>Behavioural</w:t>
      </w:r>
      <w:proofErr w:type="spellEnd"/>
      <w:r w:rsidRPr="007875AE">
        <w:t xml:space="preserve"> responses of Nav1.8-DTA mice to the von Frey hairs applied to the </w:t>
      </w:r>
      <w:proofErr w:type="spellStart"/>
      <w:r w:rsidRPr="007875AE">
        <w:t>hindpaw</w:t>
      </w:r>
      <w:proofErr w:type="spellEnd"/>
      <w:r w:rsidRPr="007875AE">
        <w:t xml:space="preserve"> over a 24 h period. (</w:t>
      </w:r>
      <w:r w:rsidRPr="007875AE">
        <w:rPr>
          <w:b/>
          <w:bCs/>
        </w:rPr>
        <w:t>a</w:t>
      </w:r>
      <w:r w:rsidRPr="007875AE">
        <w:t xml:space="preserve">) Data </w:t>
      </w:r>
      <w:proofErr w:type="spellStart"/>
      <w:r w:rsidRPr="007875AE">
        <w:t>analysed</w:t>
      </w:r>
      <w:proofErr w:type="spellEnd"/>
      <w:r w:rsidRPr="007875AE">
        <w:t xml:space="preserve"> by two-way analysis of variance followed by a Bonferroni post-hoc test and (</w:t>
      </w:r>
      <w:r w:rsidRPr="007875AE">
        <w:rPr>
          <w:b/>
          <w:bCs/>
        </w:rPr>
        <w:t>b</w:t>
      </w:r>
      <w:r w:rsidRPr="007875AE">
        <w:t>) t-test. Results are presented as mean ± S.E.M. * </w:t>
      </w:r>
      <w:r w:rsidRPr="007875AE">
        <w:rPr>
          <w:i/>
          <w:iCs/>
        </w:rPr>
        <w:t>P</w:t>
      </w:r>
      <w:r w:rsidRPr="007875AE">
        <w:t>&lt;0.05, *** </w:t>
      </w:r>
      <w:r w:rsidRPr="007875AE">
        <w:rPr>
          <w:i/>
          <w:iCs/>
        </w:rPr>
        <w:t>P</w:t>
      </w:r>
      <w:r w:rsidRPr="007875AE">
        <w:t>&lt;0.001.</w:t>
      </w:r>
    </w:p>
    <w:p w14:paraId="5DF900D0" w14:textId="77777777" w:rsidR="007875AE" w:rsidRDefault="007875AE" w:rsidP="007875AE"/>
    <w:p w14:paraId="622E3BD0" w14:textId="77777777" w:rsidR="007875AE" w:rsidRDefault="007875AE" w:rsidP="007875AE"/>
    <w:p w14:paraId="74A4CA2F" w14:textId="77777777" w:rsidR="00E43D96" w:rsidRPr="00E43D96" w:rsidRDefault="00E43D96" w:rsidP="00E43D96">
      <w:proofErr w:type="spellStart"/>
      <w:r w:rsidRPr="00E43D96">
        <w:t>Behavioural</w:t>
      </w:r>
      <w:proofErr w:type="spellEnd"/>
      <w:r w:rsidRPr="00E43D96">
        <w:t xml:space="preserve"> assays</w:t>
      </w:r>
    </w:p>
    <w:p w14:paraId="70ED70DF" w14:textId="77777777" w:rsidR="00E43D96" w:rsidRPr="00E43D96" w:rsidRDefault="00E43D96" w:rsidP="00E43D96">
      <w:r w:rsidRPr="00E43D96">
        <w:t xml:space="preserve">All </w:t>
      </w:r>
      <w:proofErr w:type="spellStart"/>
      <w:r w:rsidRPr="00E43D96">
        <w:t>behavioural</w:t>
      </w:r>
      <w:proofErr w:type="spellEnd"/>
      <w:r w:rsidRPr="00E43D96">
        <w:t xml:space="preserve"> experiments were performed between 12:00 and 15:00, unless stated otherwise. Mechanical nociceptive thresholds were measured using modified version of the Randall-</w:t>
      </w:r>
      <w:proofErr w:type="spellStart"/>
      <w:r w:rsidRPr="00E43D96">
        <w:t>Selitto</w:t>
      </w:r>
      <w:proofErr w:type="spellEnd"/>
      <w:r w:rsidRPr="00E43D96">
        <w:t xml:space="preserve"> test that applies pressure to the tail via a 3 mm</w:t>
      </w:r>
      <w:r w:rsidRPr="00E43D96">
        <w:rPr>
          <w:vertAlign w:val="superscript"/>
        </w:rPr>
        <w:t>2</w:t>
      </w:r>
      <w:r w:rsidRPr="00E43D96">
        <w:t> blunt conical probe </w:t>
      </w:r>
      <w:hyperlink r:id="rId182" w:anchor="pone.0104458-Randall1" w:history="1">
        <w:r w:rsidRPr="00E43D96">
          <w:rPr>
            <w:rStyle w:val="a7"/>
          </w:rPr>
          <w:t>[3]</w:t>
        </w:r>
      </w:hyperlink>
      <w:r w:rsidRPr="00E43D96">
        <w:t>, </w:t>
      </w:r>
      <w:hyperlink r:id="rId183" w:anchor="pone.0104458-Minett1" w:history="1">
        <w:r w:rsidRPr="00E43D96">
          <w:rPr>
            <w:rStyle w:val="a7"/>
          </w:rPr>
          <w:t>[8]</w:t>
        </w:r>
      </w:hyperlink>
      <w:r w:rsidRPr="00E43D96">
        <w:t xml:space="preserve"> with a 500 gram cut-off. Alternatively, the probe was applied to the dorsal surface of the </w:t>
      </w:r>
      <w:proofErr w:type="spellStart"/>
      <w:r w:rsidRPr="00E43D96">
        <w:t>hindpaws</w:t>
      </w:r>
      <w:proofErr w:type="spellEnd"/>
      <w:r w:rsidRPr="00E43D96">
        <w:t> </w:t>
      </w:r>
      <w:hyperlink r:id="rId184" w:anchor="pone.0104458-Andersson1" w:history="1">
        <w:r w:rsidRPr="00E43D96">
          <w:rPr>
            <w:rStyle w:val="a7"/>
          </w:rPr>
          <w:t>[13]</w:t>
        </w:r>
      </w:hyperlink>
      <w:r w:rsidRPr="00E43D96">
        <w:t>, </w:t>
      </w:r>
      <w:hyperlink r:id="rId185" w:anchor="pone.0104458-Minett1" w:history="1">
        <w:r w:rsidRPr="00E43D96">
          <w:rPr>
            <w:rStyle w:val="a7"/>
          </w:rPr>
          <w:t>[8]</w:t>
        </w:r>
      </w:hyperlink>
      <w:r w:rsidRPr="00E43D96">
        <w:t>, with a 250 gram cut-off. Touch perception was measured using the up-down method for obtaining the 50% threshold using von Frey hairs as described by </w:t>
      </w:r>
      <w:hyperlink r:id="rId186" w:anchor="pone.0104458-Chaplan1" w:history="1">
        <w:r w:rsidRPr="00E43D96">
          <w:rPr>
            <w:rStyle w:val="a7"/>
          </w:rPr>
          <w:t>[11]</w:t>
        </w:r>
      </w:hyperlink>
      <w:r w:rsidRPr="00E43D96">
        <w:t>, </w:t>
      </w:r>
      <w:hyperlink r:id="rId187" w:anchor="pone.0104458-Minett1" w:history="1">
        <w:r w:rsidRPr="00E43D96">
          <w:rPr>
            <w:rStyle w:val="a7"/>
          </w:rPr>
          <w:t>[8]</w:t>
        </w:r>
      </w:hyperlink>
      <w:r w:rsidRPr="00E43D96">
        <w:t xml:space="preserve">. The access touch perception in hair and non-hair skin von Frey hairs were applied to the plantar surface of the </w:t>
      </w:r>
      <w:proofErr w:type="spellStart"/>
      <w:r w:rsidRPr="00E43D96">
        <w:t>hindpaw</w:t>
      </w:r>
      <w:proofErr w:type="spellEnd"/>
      <w:r w:rsidRPr="00E43D96">
        <w:t xml:space="preserve"> or the inferior half of the abdomen, respectively. Abdominal hair was removed using hair clippers (</w:t>
      </w:r>
      <w:proofErr w:type="spellStart"/>
      <w:r w:rsidRPr="00E43D96">
        <w:t>Wella</w:t>
      </w:r>
      <w:proofErr w:type="spellEnd"/>
      <w:r w:rsidRPr="00E43D96">
        <w:t>, UK).</w:t>
      </w:r>
    </w:p>
    <w:p w14:paraId="60100855" w14:textId="77777777" w:rsidR="00E43D96" w:rsidRPr="00E43D96" w:rsidRDefault="00E43D96" w:rsidP="00E43D96">
      <w:r w:rsidRPr="00E43D96">
        <w:t>Thermal nociceptive thresholds were determined by measuring paw-withdrawal latency using the Hargreaves apparatus </w:t>
      </w:r>
      <w:hyperlink r:id="rId188" w:anchor="pone.0104458-Hargreaves1" w:history="1">
        <w:r w:rsidRPr="00E43D96">
          <w:rPr>
            <w:rStyle w:val="a7"/>
          </w:rPr>
          <w:t>[2]</w:t>
        </w:r>
      </w:hyperlink>
      <w:r w:rsidRPr="00E43D96">
        <w:t>, </w:t>
      </w:r>
      <w:hyperlink r:id="rId189" w:anchor="pone.0104458-Minett1" w:history="1">
        <w:r w:rsidRPr="00E43D96">
          <w:rPr>
            <w:rStyle w:val="a7"/>
          </w:rPr>
          <w:t>[8]</w:t>
        </w:r>
      </w:hyperlink>
      <w:r w:rsidRPr="00E43D96">
        <w:t>. As well as the hot-plate test (50 &amp; 55°C) </w:t>
      </w:r>
      <w:hyperlink r:id="rId190" w:anchor="pone.0104458-Eddy1" w:history="1">
        <w:r w:rsidRPr="00E43D96">
          <w:rPr>
            <w:rStyle w:val="a7"/>
          </w:rPr>
          <w:t>[39]</w:t>
        </w:r>
      </w:hyperlink>
      <w:r w:rsidRPr="00E43D96">
        <w:t>. A thermal place preference (</w:t>
      </w:r>
      <w:proofErr w:type="spellStart"/>
      <w:r w:rsidRPr="00E43D96">
        <w:t>BioSeb</w:t>
      </w:r>
      <w:proofErr w:type="spellEnd"/>
      <w:r w:rsidRPr="00E43D96">
        <w:t>) was used to assess cold avoidance </w:t>
      </w:r>
      <w:hyperlink r:id="rId191" w:anchor="pone.0104458-Minett2" w:history="1">
        <w:r w:rsidRPr="00E43D96">
          <w:rPr>
            <w:rStyle w:val="a7"/>
          </w:rPr>
          <w:t>[20]</w:t>
        </w:r>
      </w:hyperlink>
      <w:r w:rsidRPr="00E43D96">
        <w:t xml:space="preserve">. Mice were placed in a </w:t>
      </w:r>
      <w:proofErr w:type="spellStart"/>
      <w:r w:rsidRPr="00E43D96">
        <w:t>plexiglas</w:t>
      </w:r>
      <w:proofErr w:type="spellEnd"/>
      <w:r w:rsidRPr="00E43D96">
        <w:t xml:space="preserve"> chamber with two adjacent thermal surfaces both with an accuracy of ±0.1°C. Mouse movements were recorded with a video tracking system during a 2-minute test period. During which one plate was kept at a constant temperature whilst the other plate was set to test temperatures, the plate temperatures were then reversed. An average of the two 2-minute test periods was recorded.</w:t>
      </w:r>
    </w:p>
    <w:p w14:paraId="651796D3" w14:textId="4873BF8D" w:rsidR="00E43D96" w:rsidRDefault="00E43D96">
      <w:pPr>
        <w:widowControl/>
        <w:jc w:val="left"/>
      </w:pPr>
      <w:r>
        <w:rPr>
          <w:rFonts w:hint="eastAsia"/>
        </w:rPr>
        <w:br w:type="page"/>
      </w:r>
    </w:p>
    <w:p w14:paraId="1B886974" w14:textId="135C8EA1" w:rsidR="00E43D96" w:rsidRDefault="00A75605" w:rsidP="007875AE">
      <w:r>
        <w:rPr>
          <w:rFonts w:hint="eastAsia"/>
        </w:rPr>
        <w:lastRenderedPageBreak/>
        <w:t>26.</w:t>
      </w:r>
      <w:hyperlink r:id="rId192" w:history="1">
        <w:r w:rsidR="00E43D96" w:rsidRPr="00E43D96">
          <w:rPr>
            <w:rStyle w:val="a7"/>
          </w:rPr>
          <w:t>JCI - CXCL13 drives spinal astrocyte activation and neuropathic pain via CXCR5</w:t>
        </w:r>
      </w:hyperlink>
    </w:p>
    <w:p w14:paraId="73B8DDC4" w14:textId="77777777" w:rsidR="00E43D96" w:rsidRDefault="00E43D96" w:rsidP="007875AE"/>
    <w:p w14:paraId="26E435C2" w14:textId="77777777" w:rsidR="00E43D96" w:rsidRPr="00E43D96" w:rsidRDefault="00E43D96" w:rsidP="00E43D96">
      <w:pPr>
        <w:rPr>
          <w:b/>
          <w:bCs/>
        </w:rPr>
      </w:pPr>
      <w:r w:rsidRPr="00E43D96">
        <w:rPr>
          <w:rFonts w:hint="eastAsia"/>
          <w:b/>
          <w:bCs/>
        </w:rPr>
        <w:t>CXCL13 drives spinal astrocyte activation and neuropathic pain via CXCR5</w:t>
      </w:r>
    </w:p>
    <w:p w14:paraId="7BC1885B" w14:textId="1BEF184D" w:rsidR="00E43D96" w:rsidRDefault="00E43D96" w:rsidP="00E43D96">
      <w:r>
        <w:rPr>
          <w:rFonts w:hint="eastAsia"/>
        </w:rPr>
        <w:t xml:space="preserve">Bao-Chun Jiang,1 De-Li Cao,1 Xin Zhang,1 </w:t>
      </w:r>
      <w:proofErr w:type="spellStart"/>
      <w:r>
        <w:rPr>
          <w:rFonts w:hint="eastAsia"/>
        </w:rPr>
        <w:t>Zhi</w:t>
      </w:r>
      <w:proofErr w:type="spellEnd"/>
      <w:r>
        <w:rPr>
          <w:rFonts w:hint="eastAsia"/>
        </w:rPr>
        <w:t xml:space="preserve">-Jun Zhang,1,2 Li-Na He,1 Chun-Hua Li,1 Wen-Wen Zhang,1 Xiao-Bo Wu,1 </w:t>
      </w:r>
      <w:proofErr w:type="spellStart"/>
      <w:r>
        <w:rPr>
          <w:rFonts w:hint="eastAsia"/>
        </w:rPr>
        <w:t>Temugin</w:t>
      </w:r>
      <w:proofErr w:type="spellEnd"/>
      <w:r>
        <w:rPr>
          <w:rFonts w:hint="eastAsia"/>
        </w:rPr>
        <w:t xml:space="preserve"> Berta,3 Ru-Rong Ji,3 and Yong-Jing Gao1,4</w:t>
      </w:r>
    </w:p>
    <w:p w14:paraId="31DC71D0" w14:textId="0FF0B4AD" w:rsidR="00E43D96" w:rsidRDefault="00E43D96" w:rsidP="00E43D96">
      <w:r>
        <w:rPr>
          <w:rFonts w:hint="eastAsia"/>
          <w:noProof/>
        </w:rPr>
        <w:drawing>
          <wp:inline distT="0" distB="0" distL="0" distR="0" wp14:anchorId="1EA706D1" wp14:editId="0B8A449B">
            <wp:extent cx="5649191" cy="5423223"/>
            <wp:effectExtent l="0" t="0" r="8890" b="6350"/>
            <wp:docPr id="12848948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654023" cy="5427861"/>
                    </a:xfrm>
                    <a:prstGeom prst="rect">
                      <a:avLst/>
                    </a:prstGeom>
                    <a:noFill/>
                  </pic:spPr>
                </pic:pic>
              </a:graphicData>
            </a:graphic>
          </wp:inline>
        </w:drawing>
      </w:r>
    </w:p>
    <w:p w14:paraId="2ECA0F6E" w14:textId="734D49F8" w:rsidR="00E43D96" w:rsidRDefault="00E43D96" w:rsidP="00E43D96">
      <w:r w:rsidRPr="00E43D96">
        <w:t xml:space="preserve">(A and B) Intraspinal infusion of mmu-pre-miR-186 expressing lentivirus 3 days after SNL alleviated SNL-induced mechanical allodynia (A) and heat hyperalgesia (B) at days 7, 10, and 14. *P &lt; 0.05; ***P &lt; 0.001, 2-way repeated measures ANOVA followed by Bonferroni’s test. n = 7 for LV-NC; n = 8 for SNL or LV-pre-mmu-miR-186 group. BL, baseline. (C and D) Injection (i.t.) of miR-186-5p mimic daily for 3 days (from day 8 to day 10 after SNL) attenuated SNL-induced mechanical allodynia (C) and heat hyperalgesia (D). **P &lt; 0.01, ***P &lt; 0.001, 2-way repeated measures ANOVA followed by Bonferroni’s test. n = 9 for NC and n = 10 for miR-186 mimic. (E) ELISA results show decreased CXCL13 levels in the spinal cord of miR-186-5p mimic–treated animals. *P &lt; 0.05, Student’s t test. n = 6 mice/group. (F and G) Injection (i.t.) of miR-186-5p inhibitor induced mechanical allodynia (F) and heat hyperalgesia (G) in naive mice. *P &lt; 0.05; **P &lt; 0.01; ***P &lt; 0.001, miR-186-5p inhibitor vs. </w:t>
      </w:r>
      <w:r w:rsidRPr="00E43D96">
        <w:lastRenderedPageBreak/>
        <w:t>NC, 2-way repeated measures ANOVA followed by Bonferroni’s test. n = 5 mice/group. (H) CXCL13 neutralizing antibody attenuated miR-186-5p inhibitor–induced mechanical allodynia. *P &lt; 0.05, 2-way repeated measures ANOVA followed by Bonferroni’s test. n = 5 mice/group. (I) Injection (i.t.) of MK801 before SNL prevented SNL-induced downregulation of miR-186-5p in the spinal cord. *P &lt; 0.05; **P &lt; 0.01, 1-way ANOVA followed by Bonferroni’s test. n = 5 mice/group. (J) Injection (i.t.) MK801 also inhibited SNL-induced upregulation of CXCL13. *P &lt; 0.05, 1-way ANOVA followed by Bonferroni’s test. n = 4–6 mice/group. (K) Injection (i.t.) of NMDA in naive mice decreased miR-186-5p expression. *P &lt; 0.05, Student’s t test. n = 4–5 mice/group. (L) Injection (i.t.) NMDA also increased CXCL13 expression. *P &lt; 0.05, Student’s t test. n = 6 mice/group.</w:t>
      </w:r>
    </w:p>
    <w:p w14:paraId="202AFB0A" w14:textId="77777777" w:rsidR="00E43D96" w:rsidRDefault="00E43D96" w:rsidP="00E43D96"/>
    <w:p w14:paraId="512F2BEC" w14:textId="77777777" w:rsidR="00E43D96" w:rsidRDefault="00E43D96" w:rsidP="00E43D96"/>
    <w:p w14:paraId="15303091" w14:textId="30F99B1A" w:rsidR="005114EB" w:rsidRDefault="005114EB" w:rsidP="00E43D96">
      <w:r w:rsidRPr="005114EB">
        <w:rPr>
          <w:i/>
          <w:iCs/>
        </w:rPr>
        <w:t>Behavioral analysis.</w:t>
      </w:r>
      <w:r w:rsidRPr="005114EB">
        <w:t> Animals were habituated to the testing environment daily for at least 2 days before baseline testing. Acute thermal sensitivity was assessed by radiant heat and hot water immersion. Heat hyperalgesia and mechanical allodynia were performed as previously described (</w:t>
      </w:r>
      <w:hyperlink r:id="rId194" w:anchor="B7" w:history="1">
        <w:r w:rsidRPr="005114EB">
          <w:rPr>
            <w:rStyle w:val="a7"/>
          </w:rPr>
          <w:t>7</w:t>
        </w:r>
      </w:hyperlink>
      <w:r w:rsidRPr="005114EB">
        <w:t>, </w:t>
      </w:r>
      <w:hyperlink r:id="rId195" w:anchor="B10" w:history="1">
        <w:r w:rsidRPr="005114EB">
          <w:rPr>
            <w:rStyle w:val="a7"/>
          </w:rPr>
          <w:t>10</w:t>
        </w:r>
      </w:hyperlink>
      <w:r w:rsidRPr="005114EB">
        <w:t>). Motor function was tested by Rotarod test. The sedative potential of drugs was investigated by recording spontaneous locomotor activity of mice in an open-field test. The behaviors were tested blindly.</w:t>
      </w:r>
    </w:p>
    <w:p w14:paraId="72C0109B" w14:textId="77777777" w:rsidR="005114EB" w:rsidRDefault="005114EB">
      <w:pPr>
        <w:widowControl/>
        <w:jc w:val="left"/>
      </w:pPr>
      <w:r>
        <w:rPr>
          <w:rFonts w:hint="eastAsia"/>
        </w:rPr>
        <w:br w:type="page"/>
      </w:r>
    </w:p>
    <w:p w14:paraId="2E3E8ED0" w14:textId="006A5058" w:rsidR="005114EB" w:rsidRDefault="00A75605" w:rsidP="00E43D96">
      <w:r>
        <w:rPr>
          <w:rFonts w:hint="eastAsia"/>
        </w:rPr>
        <w:lastRenderedPageBreak/>
        <w:t>27.</w:t>
      </w:r>
      <w:hyperlink r:id="rId196" w:history="1">
        <w:r w:rsidR="005114EB" w:rsidRPr="005114EB">
          <w:rPr>
            <w:rStyle w:val="a7"/>
          </w:rPr>
          <w:t>Interleukin-1β pre-treated bone marrow stromal cells alleviate neuropathic pain through CCL7-mediated inhibition of microglial activation in the spinal cord | Scientific Reports</w:t>
        </w:r>
      </w:hyperlink>
    </w:p>
    <w:p w14:paraId="2150CCB7" w14:textId="77777777" w:rsidR="005114EB" w:rsidRDefault="005114EB" w:rsidP="00E43D96"/>
    <w:p w14:paraId="1347FD39" w14:textId="77777777" w:rsidR="005114EB" w:rsidRPr="005114EB" w:rsidRDefault="005114EB" w:rsidP="005114EB">
      <w:pPr>
        <w:rPr>
          <w:b/>
          <w:bCs/>
        </w:rPr>
      </w:pPr>
      <w:r w:rsidRPr="005114EB">
        <w:rPr>
          <w:rFonts w:hint="eastAsia"/>
          <w:b/>
          <w:bCs/>
        </w:rPr>
        <w:t>Interleukin-1β pre-treated bone marrow stromal cells alleviate neuropathic pain through CCL7-mediated inhibition of microglial activation in the spinal cord</w:t>
      </w:r>
    </w:p>
    <w:p w14:paraId="7430CC38" w14:textId="4BCA29BB" w:rsidR="005114EB" w:rsidRDefault="005114EB" w:rsidP="005114EB">
      <w:r>
        <w:rPr>
          <w:rFonts w:hint="eastAsia"/>
        </w:rPr>
        <w:t xml:space="preserve">Jian Li, </w:t>
      </w:r>
      <w:proofErr w:type="spellStart"/>
      <w:r>
        <w:rPr>
          <w:rFonts w:hint="eastAsia"/>
        </w:rPr>
        <w:t>Guoying</w:t>
      </w:r>
      <w:proofErr w:type="spellEnd"/>
      <w:r>
        <w:rPr>
          <w:rFonts w:hint="eastAsia"/>
        </w:rPr>
        <w:t xml:space="preserve"> Deng, </w:t>
      </w:r>
      <w:proofErr w:type="spellStart"/>
      <w:r>
        <w:rPr>
          <w:rFonts w:hint="eastAsia"/>
        </w:rPr>
        <w:t>Haowei</w:t>
      </w:r>
      <w:proofErr w:type="spellEnd"/>
      <w:r>
        <w:rPr>
          <w:rFonts w:hint="eastAsia"/>
        </w:rPr>
        <w:t xml:space="preserve"> Wang, Mei Yang, Rui Yang, </w:t>
      </w:r>
      <w:proofErr w:type="spellStart"/>
      <w:r>
        <w:rPr>
          <w:rFonts w:hint="eastAsia"/>
        </w:rPr>
        <w:t>Xiangnan</w:t>
      </w:r>
      <w:proofErr w:type="spellEnd"/>
      <w:r>
        <w:rPr>
          <w:rFonts w:hint="eastAsia"/>
        </w:rPr>
        <w:t xml:space="preserve"> Li, Xiaoping Zhang &amp; Hongbin Yuan</w:t>
      </w:r>
    </w:p>
    <w:p w14:paraId="3F9C77B1" w14:textId="1B8D622C" w:rsidR="005114EB" w:rsidRDefault="005114EB" w:rsidP="005114EB">
      <w:r>
        <w:rPr>
          <w:rFonts w:hint="eastAsia"/>
          <w:noProof/>
        </w:rPr>
        <w:drawing>
          <wp:inline distT="0" distB="0" distL="0" distR="0" wp14:anchorId="1170ED71" wp14:editId="3FB6E5FE">
            <wp:extent cx="4391461" cy="4558145"/>
            <wp:effectExtent l="0" t="0" r="9525" b="0"/>
            <wp:docPr id="19063107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401659" cy="4568730"/>
                    </a:xfrm>
                    <a:prstGeom prst="rect">
                      <a:avLst/>
                    </a:prstGeom>
                    <a:noFill/>
                  </pic:spPr>
                </pic:pic>
              </a:graphicData>
            </a:graphic>
          </wp:inline>
        </w:drawing>
      </w:r>
    </w:p>
    <w:p w14:paraId="4497147A" w14:textId="6F2D0710" w:rsidR="005114EB" w:rsidRDefault="005114EB" w:rsidP="005114EB">
      <w:r w:rsidRPr="005114EB">
        <w:t>(</w:t>
      </w:r>
      <w:r w:rsidRPr="005114EB">
        <w:rPr>
          <w:b/>
          <w:bCs/>
        </w:rPr>
        <w:t>A</w:t>
      </w:r>
      <w:r w:rsidRPr="005114EB">
        <w:t> and </w:t>
      </w:r>
      <w:r w:rsidRPr="005114EB">
        <w:rPr>
          <w:b/>
          <w:bCs/>
        </w:rPr>
        <w:t>B</w:t>
      </w:r>
      <w:r w:rsidRPr="005114EB">
        <w:t>) Inhibition of (</w:t>
      </w:r>
      <w:r w:rsidRPr="005114EB">
        <w:rPr>
          <w:b/>
          <w:bCs/>
        </w:rPr>
        <w:t>A</w:t>
      </w:r>
      <w:r w:rsidRPr="005114EB">
        <w:t>) mechanical allodynia and (</w:t>
      </w:r>
      <w:r w:rsidRPr="005114EB">
        <w:rPr>
          <w:b/>
          <w:bCs/>
        </w:rPr>
        <w:t>B</w:t>
      </w:r>
      <w:r w:rsidRPr="005114EB">
        <w:t>) thermal hyperalgesia for three weeks following early treatment (given 0.5</w:t>
      </w:r>
      <w:r w:rsidRPr="005114EB">
        <w:rPr>
          <w:rFonts w:ascii="MS Gothic" w:eastAsia="MS Gothic" w:hAnsi="MS Gothic" w:cs="MS Gothic" w:hint="eastAsia"/>
        </w:rPr>
        <w:t> </w:t>
      </w:r>
      <w:r w:rsidRPr="005114EB">
        <w:t>h before SNL) with IL-1</w:t>
      </w:r>
      <w:r w:rsidRPr="005114EB">
        <w:rPr>
          <w:rFonts w:ascii="等线" w:eastAsia="等线" w:hAnsi="等线" w:cs="等线" w:hint="eastAsia"/>
        </w:rPr>
        <w:t>β</w:t>
      </w:r>
      <w:r w:rsidRPr="005114EB">
        <w:t>-BMSCs or BMSCs, as well as faster and stronger inhibition of neuropathic pain by IL-1</w:t>
      </w:r>
      <w:r w:rsidRPr="005114EB">
        <w:rPr>
          <w:rFonts w:ascii="等线" w:eastAsia="等线" w:hAnsi="等线" w:cs="等线" w:hint="eastAsia"/>
        </w:rPr>
        <w:t>β</w:t>
      </w:r>
      <w:r w:rsidRPr="005114EB">
        <w:t>-BMSCs compared to BMSCs for the first seven days. (</w:t>
      </w:r>
      <w:r w:rsidRPr="005114EB">
        <w:rPr>
          <w:b/>
          <w:bCs/>
        </w:rPr>
        <w:t>C</w:t>
      </w:r>
      <w:r w:rsidRPr="005114EB">
        <w:t> and </w:t>
      </w:r>
      <w:r w:rsidRPr="005114EB">
        <w:rPr>
          <w:b/>
          <w:bCs/>
        </w:rPr>
        <w:t>D</w:t>
      </w:r>
      <w:r w:rsidRPr="005114EB">
        <w:t>) BMSCs or IL-1β-BMSCs delivered on day 7 after SNL reversed (</w:t>
      </w:r>
      <w:r w:rsidRPr="005114EB">
        <w:rPr>
          <w:b/>
          <w:bCs/>
        </w:rPr>
        <w:t>C</w:t>
      </w:r>
      <w:r w:rsidRPr="005114EB">
        <w:t>) mechanical allodynia and (</w:t>
      </w:r>
      <w:r w:rsidRPr="005114EB">
        <w:rPr>
          <w:b/>
          <w:bCs/>
        </w:rPr>
        <w:t>D</w:t>
      </w:r>
      <w:r w:rsidRPr="005114EB">
        <w:t>) thermal hyperalgesia for at least two weeks, with IL-1β-BMSCs producing a faster and stronger reversal than BMSCs. (</w:t>
      </w:r>
      <w:r w:rsidRPr="005114EB">
        <w:rPr>
          <w:b/>
          <w:bCs/>
        </w:rPr>
        <w:t>E</w:t>
      </w:r>
      <w:r w:rsidRPr="005114EB">
        <w:t>) Both IL-1β-BMSCs and BMSCs did not affect motor function as evaluated by the rotarod test. Arrows in (</w:t>
      </w:r>
      <w:r w:rsidRPr="005114EB">
        <w:rPr>
          <w:b/>
          <w:bCs/>
        </w:rPr>
        <w:t>A–D</w:t>
      </w:r>
      <w:r w:rsidRPr="005114EB">
        <w:t>) indicate the time points of IL-1β-BMSCs or BMSCs injection. *P</w:t>
      </w:r>
      <w:r w:rsidRPr="005114EB">
        <w:rPr>
          <w:rFonts w:ascii="MS Gothic" w:eastAsia="MS Gothic" w:hAnsi="MS Gothic" w:cs="MS Gothic" w:hint="eastAsia"/>
        </w:rPr>
        <w:t> </w:t>
      </w:r>
      <w:r w:rsidRPr="005114EB">
        <w:t>&lt;</w:t>
      </w:r>
      <w:r w:rsidRPr="005114EB">
        <w:rPr>
          <w:rFonts w:ascii="MS Gothic" w:eastAsia="MS Gothic" w:hAnsi="MS Gothic" w:cs="MS Gothic" w:hint="eastAsia"/>
        </w:rPr>
        <w:t> </w:t>
      </w:r>
      <w:r w:rsidRPr="005114EB">
        <w:t>0.05, compared with PBS,</w:t>
      </w:r>
      <w:r w:rsidRPr="005114EB">
        <w:rPr>
          <w:rFonts w:ascii="等线" w:eastAsia="等线" w:hAnsi="等线" w:cs="等线" w:hint="eastAsia"/>
        </w:rPr>
        <w:t> </w:t>
      </w:r>
      <w:r w:rsidRPr="005114EB">
        <w:t>P</w:t>
      </w:r>
      <w:r w:rsidRPr="005114EB">
        <w:rPr>
          <w:rFonts w:ascii="MS Gothic" w:eastAsia="MS Gothic" w:hAnsi="MS Gothic" w:cs="MS Gothic" w:hint="eastAsia"/>
        </w:rPr>
        <w:t> </w:t>
      </w:r>
      <w:r w:rsidRPr="005114EB">
        <w:t>&lt;</w:t>
      </w:r>
      <w:r w:rsidRPr="005114EB">
        <w:rPr>
          <w:rFonts w:ascii="MS Gothic" w:eastAsia="MS Gothic" w:hAnsi="MS Gothic" w:cs="MS Gothic" w:hint="eastAsia"/>
        </w:rPr>
        <w:t> </w:t>
      </w:r>
      <w:r w:rsidRPr="005114EB">
        <w:t>0.05; 36 rats in total and n</w:t>
      </w:r>
      <w:r w:rsidRPr="005114EB">
        <w:rPr>
          <w:rFonts w:ascii="MS Gothic" w:eastAsia="MS Gothic" w:hAnsi="MS Gothic" w:cs="MS Gothic" w:hint="eastAsia"/>
        </w:rPr>
        <w:t> </w:t>
      </w:r>
      <w:r w:rsidRPr="005114EB">
        <w:t>=</w:t>
      </w:r>
      <w:r w:rsidRPr="005114EB">
        <w:rPr>
          <w:rFonts w:ascii="MS Gothic" w:eastAsia="MS Gothic" w:hAnsi="MS Gothic" w:cs="MS Gothic" w:hint="eastAsia"/>
        </w:rPr>
        <w:t> </w:t>
      </w:r>
      <w:r w:rsidRPr="005114EB">
        <w:t>6 rats/group. Statistical significance was determined by two-way repeated-measures ANOVA followed by Bonferroni</w:t>
      </w:r>
      <w:proofErr w:type="gramStart"/>
      <w:r w:rsidRPr="005114EB">
        <w:rPr>
          <w:rFonts w:ascii="等线" w:eastAsia="等线" w:hAnsi="等线" w:cs="等线" w:hint="eastAsia"/>
        </w:rPr>
        <w:t>’</w:t>
      </w:r>
      <w:proofErr w:type="gramEnd"/>
      <w:r w:rsidRPr="005114EB">
        <w:t>s post-hoc test. All data are expressed as the mean</w:t>
      </w:r>
      <w:r w:rsidRPr="005114EB">
        <w:rPr>
          <w:rFonts w:ascii="MS Gothic" w:eastAsia="MS Gothic" w:hAnsi="MS Gothic" w:cs="MS Gothic" w:hint="eastAsia"/>
        </w:rPr>
        <w:t> </w:t>
      </w:r>
      <w:r w:rsidRPr="005114EB">
        <w:rPr>
          <w:rFonts w:ascii="等线" w:eastAsia="等线" w:hAnsi="等线" w:cs="等线" w:hint="eastAsia"/>
        </w:rPr>
        <w:t>±</w:t>
      </w:r>
      <w:r w:rsidRPr="005114EB">
        <w:rPr>
          <w:rFonts w:ascii="MS Gothic" w:eastAsia="MS Gothic" w:hAnsi="MS Gothic" w:cs="MS Gothic" w:hint="eastAsia"/>
        </w:rPr>
        <w:t> </w:t>
      </w:r>
      <w:r w:rsidRPr="005114EB">
        <w:t>SEM.</w:t>
      </w:r>
      <w:r w:rsidRPr="005114EB">
        <w:rPr>
          <w:vertAlign w:val="superscript"/>
        </w:rPr>
        <w:t>#</w:t>
      </w:r>
    </w:p>
    <w:p w14:paraId="775AFA22" w14:textId="77777777" w:rsidR="005114EB" w:rsidRDefault="005114EB" w:rsidP="005114EB"/>
    <w:p w14:paraId="08A6AB81" w14:textId="77777777" w:rsidR="005114EB" w:rsidRDefault="005114EB" w:rsidP="005114EB"/>
    <w:p w14:paraId="3B3FC910" w14:textId="77777777" w:rsidR="005114EB" w:rsidRPr="005114EB" w:rsidRDefault="005114EB" w:rsidP="005114EB">
      <w:r w:rsidRPr="005114EB">
        <w:lastRenderedPageBreak/>
        <w:t>Pain threshold assessment</w:t>
      </w:r>
    </w:p>
    <w:p w14:paraId="1911457B" w14:textId="77777777" w:rsidR="005114EB" w:rsidRPr="005114EB" w:rsidRDefault="005114EB" w:rsidP="005114EB">
      <w:r w:rsidRPr="005114EB">
        <w:t>Mechanical paw withdrawal thresholds were evaluated by measuring the withdrawal response after stimulation of the left sole (operational sides) with Von Frey filaments (</w:t>
      </w:r>
      <w:proofErr w:type="spellStart"/>
      <w:r w:rsidRPr="005114EB">
        <w:t>Stoelting</w:t>
      </w:r>
      <w:proofErr w:type="spellEnd"/>
      <w:r w:rsidRPr="005114EB">
        <w:t>, Wood Dale, IL, USA)</w:t>
      </w:r>
      <w:hyperlink r:id="rId198" w:anchor="ref-CR29" w:tooltip="Fukuoka, T., Tokunaga, A., Tachibana, T., Dai, Y., Yamanaka, H. &amp; Noguchi, K. VR1, but not P2X(3), increases in the spared L4 DRG in rats with L5 spinal nerve ligation. Pain 99, 111–120 (2002)." w:history="1">
        <w:r w:rsidRPr="005114EB">
          <w:rPr>
            <w:rStyle w:val="a7"/>
          </w:rPr>
          <w:t>29</w:t>
        </w:r>
      </w:hyperlink>
      <w:r w:rsidRPr="005114EB">
        <w:t>. Pressure was exerted until the Von Frey filament was slightly bent and the stimulation was gradually increased. A positive response was classified as dodging, shaking, or flinching from the stimulation and all stimulation responses were recorded. The measurements were repeated five times and performed between 11</w:t>
      </w:r>
      <w:r w:rsidRPr="005114EB">
        <w:rPr>
          <w:rFonts w:ascii="MS Gothic" w:eastAsia="MS Gothic" w:hAnsi="MS Gothic" w:cs="MS Gothic" w:hint="eastAsia"/>
        </w:rPr>
        <w:t> </w:t>
      </w:r>
      <w:r w:rsidRPr="005114EB">
        <w:t>a.m. and 3</w:t>
      </w:r>
      <w:r w:rsidRPr="005114EB">
        <w:rPr>
          <w:rFonts w:ascii="MS Gothic" w:eastAsia="MS Gothic" w:hAnsi="MS Gothic" w:cs="MS Gothic" w:hint="eastAsia"/>
        </w:rPr>
        <w:t> </w:t>
      </w:r>
      <w:r w:rsidRPr="005114EB">
        <w:t>p.m. The pain threshold was recorded in grams (g).</w:t>
      </w:r>
    </w:p>
    <w:p w14:paraId="46A33662" w14:textId="77777777" w:rsidR="005114EB" w:rsidRPr="005114EB" w:rsidRDefault="005114EB" w:rsidP="005114EB">
      <w:r w:rsidRPr="005114EB">
        <w:t>Thermal hyperalgesia was tested as previously described</w:t>
      </w:r>
      <w:hyperlink r:id="rId199" w:anchor="ref-CR5" w:tooltip="Chen, G., Park, C. K., Xie, R. G. &amp; Ji, R. R. Intrathecal bone marrow stromal cells inhibit neuropathic pain via TGF-β secretion. J. Clin. Invest. 125, 3226–3240 (2015)." w:history="1">
        <w:r w:rsidRPr="005114EB">
          <w:rPr>
            <w:rStyle w:val="a7"/>
          </w:rPr>
          <w:t>5</w:t>
        </w:r>
      </w:hyperlink>
      <w:r w:rsidRPr="005114EB">
        <w:t xml:space="preserve">. A </w:t>
      </w:r>
      <w:proofErr w:type="spellStart"/>
      <w:r w:rsidRPr="005114EB">
        <w:t>hargreaves</w:t>
      </w:r>
      <w:proofErr w:type="spellEnd"/>
      <w:r w:rsidRPr="005114EB">
        <w:t xml:space="preserve"> radiant heat apparatus (IITC Life Science, Woodland Hills, CA, USA) was used, and the radiant heat source was adjusted to produce a baseline latency between 11–14</w:t>
      </w:r>
      <w:r w:rsidRPr="005114EB">
        <w:rPr>
          <w:rFonts w:ascii="MS Gothic" w:eastAsia="MS Gothic" w:hAnsi="MS Gothic" w:cs="MS Gothic" w:hint="eastAsia"/>
        </w:rPr>
        <w:t> </w:t>
      </w:r>
      <w:r w:rsidRPr="005114EB">
        <w:t>s. A cutoff point was set at 20</w:t>
      </w:r>
      <w:r w:rsidRPr="005114EB">
        <w:rPr>
          <w:rFonts w:ascii="MS Gothic" w:eastAsia="MS Gothic" w:hAnsi="MS Gothic" w:cs="MS Gothic" w:hint="eastAsia"/>
        </w:rPr>
        <w:t> </w:t>
      </w:r>
      <w:r w:rsidRPr="005114EB">
        <w:t>s to avoid tissue damage. Rat motor function was tested using a rotarod system (IITC Life Science).</w:t>
      </w:r>
    </w:p>
    <w:p w14:paraId="7E6A1800" w14:textId="77777777" w:rsidR="005114EB" w:rsidRPr="005114EB" w:rsidRDefault="005114EB" w:rsidP="005114EB">
      <w:r w:rsidRPr="005114EB">
        <w:t>The SNL model is a classic neuropathic pain model where by the pain threshold decreases from the first day after SNL, and is maintained for several weeks</w:t>
      </w:r>
      <w:hyperlink r:id="rId200" w:anchor="ref-CR8" w:tooltip="Jiang, B. C. et al. CXCL13 drives spinal astrocyte activation and neuropathic pain via CXCR5. J. Clin. Invest. 126, 745–761 (2016)." w:history="1">
        <w:r w:rsidRPr="005114EB">
          <w:rPr>
            <w:rStyle w:val="a7"/>
          </w:rPr>
          <w:t>8</w:t>
        </w:r>
      </w:hyperlink>
      <w:r w:rsidRPr="005114EB">
        <w:rPr>
          <w:vertAlign w:val="superscript"/>
        </w:rPr>
        <w:t>,</w:t>
      </w:r>
      <w:hyperlink r:id="rId201" w:anchor="ref-CR9" w:tooltip="Hammer, P. et al. mRNA-seq with agnostic splice site discovery for nervous system transcriptomics tested in chronic pain. Genome Res. 20, 847–860 (2010)." w:history="1">
        <w:r w:rsidRPr="005114EB">
          <w:rPr>
            <w:rStyle w:val="a7"/>
          </w:rPr>
          <w:t>9</w:t>
        </w:r>
      </w:hyperlink>
      <w:r w:rsidRPr="005114EB">
        <w:rPr>
          <w:vertAlign w:val="superscript"/>
        </w:rPr>
        <w:t>,</w:t>
      </w:r>
      <w:hyperlink r:id="rId202" w:anchor="ref-CR10" w:tooltip="Inoue, K. The function of microglia through purinergic receptors: neuropathic pain and cytokine release. Pharmacol. Ther. 109, 210–226 (2006)." w:history="1">
        <w:r w:rsidRPr="005114EB">
          <w:rPr>
            <w:rStyle w:val="a7"/>
          </w:rPr>
          <w:t>10</w:t>
        </w:r>
      </w:hyperlink>
      <w:r w:rsidRPr="005114EB">
        <w:t>. In order to determine the most suitable concentration of IL-1β, we preliminarily chose the time point of 7 days and 14 days after SNL (IL-1β-BMSCs i.t. injection) to estimate the effect of IL-1β-BMSCs on pain alleviation (</w:t>
      </w:r>
      <w:hyperlink r:id="rId203" w:anchor="Fig1" w:history="1">
        <w:r w:rsidRPr="005114EB">
          <w:rPr>
            <w:rStyle w:val="a7"/>
          </w:rPr>
          <w:t>Fig. 1C</w:t>
        </w:r>
      </w:hyperlink>
      <w:r w:rsidRPr="005114EB">
        <w:t>). IL-1β-BMSCs were i.t. injected just before SNL or on day 7 after SNL in order to evaluate their effect on pain prevention (</w:t>
      </w:r>
      <w:hyperlink r:id="rId204" w:anchor="Fig2" w:history="1">
        <w:r w:rsidRPr="005114EB">
          <w:rPr>
            <w:rStyle w:val="a7"/>
          </w:rPr>
          <w:t>Fig. 2A</w:t>
        </w:r>
      </w:hyperlink>
      <w:r w:rsidRPr="005114EB">
        <w:t> and B) or pain treatment (</w:t>
      </w:r>
      <w:hyperlink r:id="rId205" w:anchor="Fig2" w:history="1">
        <w:r w:rsidRPr="005114EB">
          <w:rPr>
            <w:rStyle w:val="a7"/>
          </w:rPr>
          <w:t>Fig. 2C</w:t>
        </w:r>
      </w:hyperlink>
      <w:r w:rsidRPr="005114EB">
        <w:t> and D), and the time points of 1d, 3d, 5d, 7d, 10d, 14d after i.t. injection were chosen. According to </w:t>
      </w:r>
      <w:hyperlink r:id="rId206" w:anchor="Fig2" w:history="1">
        <w:r w:rsidRPr="005114EB">
          <w:rPr>
            <w:rStyle w:val="a7"/>
          </w:rPr>
          <w:t>Fig. 2</w:t>
        </w:r>
      </w:hyperlink>
      <w:r w:rsidRPr="005114EB">
        <w:t>, IL-1β-BMSCs i.t. injected prior to SNL had the strongest analgesic effect on day 7 after injection (SNL 7d) and on day 3 after injection (SNL 10d) for the group receiving i.t. injection on day 7 after SNL. These two time points (SNL 7 d or SNL 10 d) were thus chosen for i.t. injection of CCL7 (</w:t>
      </w:r>
      <w:hyperlink r:id="rId207" w:anchor="Fig5" w:history="1">
        <w:r w:rsidRPr="005114EB">
          <w:rPr>
            <w:rStyle w:val="a7"/>
          </w:rPr>
          <w:t>Fig. 5</w:t>
        </w:r>
      </w:hyperlink>
      <w:r w:rsidRPr="005114EB">
        <w:t>).</w:t>
      </w:r>
    </w:p>
    <w:p w14:paraId="4727C65D" w14:textId="77777777" w:rsidR="005114EB" w:rsidRPr="005114EB" w:rsidRDefault="005114EB" w:rsidP="005114EB">
      <w:r w:rsidRPr="005114EB">
        <w:t>Tissue collection</w:t>
      </w:r>
    </w:p>
    <w:p w14:paraId="5BF1BC1E" w14:textId="77777777" w:rsidR="005114EB" w:rsidRPr="005114EB" w:rsidRDefault="005114EB" w:rsidP="005114EB">
      <w:r w:rsidRPr="005114EB">
        <w:t>For behavioral analysis (</w:t>
      </w:r>
      <w:hyperlink r:id="rId208" w:anchor="Fig2" w:history="1">
        <w:r w:rsidRPr="005114EB">
          <w:rPr>
            <w:rStyle w:val="a7"/>
          </w:rPr>
          <w:t>Fig. 2A–D</w:t>
        </w:r>
      </w:hyperlink>
      <w:r w:rsidRPr="005114EB">
        <w:t>) for rats i.t. injected prior to SNL, tissue was collected on day 7 after injection (</w:t>
      </w:r>
      <w:hyperlink r:id="rId209" w:anchor="Fig3" w:history="1">
        <w:r w:rsidRPr="005114EB">
          <w:rPr>
            <w:rStyle w:val="a7"/>
          </w:rPr>
          <w:t>Fig. 3A</w:t>
        </w:r>
      </w:hyperlink>
      <w:r w:rsidRPr="005114EB">
        <w:t> and B, </w:t>
      </w:r>
      <w:hyperlink r:id="rId210" w:anchor="Fig4" w:history="1">
        <w:r w:rsidRPr="005114EB">
          <w:rPr>
            <w:rStyle w:val="a7"/>
          </w:rPr>
          <w:t>Fig. 4</w:t>
        </w:r>
      </w:hyperlink>
      <w:r w:rsidRPr="005114EB">
        <w:t>, </w:t>
      </w:r>
      <w:hyperlink r:id="rId211" w:anchor="Fig5" w:history="1">
        <w:r w:rsidRPr="005114EB">
          <w:rPr>
            <w:rStyle w:val="a7"/>
          </w:rPr>
          <w:t>Fig. 5A</w:t>
        </w:r>
      </w:hyperlink>
      <w:r w:rsidRPr="005114EB">
        <w:t>, </w:t>
      </w:r>
      <w:hyperlink r:id="rId212" w:anchor="Fig6" w:history="1">
        <w:r w:rsidRPr="005114EB">
          <w:rPr>
            <w:rStyle w:val="a7"/>
          </w:rPr>
          <w:t>Fig. 6L</w:t>
        </w:r>
      </w:hyperlink>
      <w:r w:rsidRPr="005114EB">
        <w:t> and </w:t>
      </w:r>
      <w:hyperlink r:id="rId213" w:anchor="Fig7" w:history="1">
        <w:r w:rsidRPr="005114EB">
          <w:rPr>
            <w:rStyle w:val="a7"/>
          </w:rPr>
          <w:t>Fig. 7A–F</w:t>
        </w:r>
      </w:hyperlink>
      <w:r w:rsidRPr="005114EB">
        <w:t>), and for rats i.t. injected on day 7 after SNL, tissue was collected on day 3 after injection (</w:t>
      </w:r>
      <w:hyperlink r:id="rId214" w:anchor="Fig3" w:history="1">
        <w:r w:rsidRPr="005114EB">
          <w:rPr>
            <w:rStyle w:val="a7"/>
          </w:rPr>
          <w:t>Fig. 3C</w:t>
        </w:r>
      </w:hyperlink>
      <w:r w:rsidRPr="005114EB">
        <w:t> and D, </w:t>
      </w:r>
      <w:hyperlink r:id="rId215" w:anchor="Fig5" w:history="1">
        <w:r w:rsidRPr="005114EB">
          <w:rPr>
            <w:rStyle w:val="a7"/>
          </w:rPr>
          <w:t>Fig. 5D</w:t>
        </w:r>
      </w:hyperlink>
      <w:r w:rsidRPr="005114EB">
        <w:t>).</w:t>
      </w:r>
    </w:p>
    <w:p w14:paraId="63CABF09" w14:textId="77777777" w:rsidR="005114EB" w:rsidRPr="005114EB" w:rsidRDefault="005114EB" w:rsidP="005114EB">
      <w:r w:rsidRPr="005114EB">
        <w:t xml:space="preserve">For western blot analysis, rats were anaesthetized with 10% chloral hydrate and the lumbar enlargements were carefully isolated. Both ipsilateral and contralateral spinal cords were collected and stored in microtubes at </w:t>
      </w:r>
      <w:r w:rsidRPr="005114EB">
        <w:rPr>
          <w:rFonts w:ascii="微软雅黑" w:eastAsia="微软雅黑" w:hAnsi="微软雅黑" w:cs="微软雅黑" w:hint="eastAsia"/>
        </w:rPr>
        <w:t>−</w:t>
      </w:r>
      <w:r w:rsidRPr="005114EB">
        <w:t>80</w:t>
      </w:r>
      <w:r w:rsidRPr="005114EB">
        <w:rPr>
          <w:rFonts w:ascii="MS Gothic" w:eastAsia="MS Gothic" w:hAnsi="MS Gothic" w:cs="MS Gothic" w:hint="eastAsia"/>
        </w:rPr>
        <w:t> </w:t>
      </w:r>
      <w:r w:rsidRPr="005114EB">
        <w:rPr>
          <w:rFonts w:ascii="等线" w:eastAsia="等线" w:hAnsi="等线" w:cs="等线" w:hint="eastAsia"/>
        </w:rPr>
        <w:t>°</w:t>
      </w:r>
      <w:r w:rsidRPr="005114EB">
        <w:t>C until further use.</w:t>
      </w:r>
    </w:p>
    <w:p w14:paraId="740FAAF0" w14:textId="77777777" w:rsidR="005114EB" w:rsidRPr="005114EB" w:rsidRDefault="005114EB" w:rsidP="005114EB">
      <w:r w:rsidRPr="005114EB">
        <w:t>For immunofluorescence, rats were anaesthetized with 10% chloral hydrate and then with 0.01</w:t>
      </w:r>
      <w:r w:rsidRPr="005114EB">
        <w:rPr>
          <w:rFonts w:ascii="MS Gothic" w:eastAsia="MS Gothic" w:hAnsi="MS Gothic" w:cs="MS Gothic" w:hint="eastAsia"/>
        </w:rPr>
        <w:t> </w:t>
      </w:r>
      <w:r w:rsidRPr="005114EB">
        <w:t>M PBS followed by 4% paraformaldehyde (dissolved in PBS). Immediately after perfusion, the spinal cord was isolated and post-fixed overnight in 4% paraformaldehyde at 4</w:t>
      </w:r>
      <w:r w:rsidRPr="005114EB">
        <w:rPr>
          <w:rFonts w:ascii="MS Gothic" w:eastAsia="MS Gothic" w:hAnsi="MS Gothic" w:cs="MS Gothic" w:hint="eastAsia"/>
        </w:rPr>
        <w:t> </w:t>
      </w:r>
      <w:r w:rsidRPr="005114EB">
        <w:rPr>
          <w:rFonts w:ascii="等线" w:eastAsia="等线" w:hAnsi="等线" w:cs="等线" w:hint="eastAsia"/>
        </w:rPr>
        <w:t>°</w:t>
      </w:r>
      <w:r w:rsidRPr="005114EB">
        <w:t>C. Tissue was dehydrated in 10% sucrose solution and 20% sucrose solution, consecutively, and the lumbar region of each spinal cord (L4-L6) was quickly frozen (3</w:t>
      </w:r>
      <w:r w:rsidRPr="005114EB">
        <w:rPr>
          <w:rFonts w:ascii="MS Gothic" w:eastAsia="MS Gothic" w:hAnsi="MS Gothic" w:cs="MS Gothic" w:hint="eastAsia"/>
        </w:rPr>
        <w:t> </w:t>
      </w:r>
      <w:r w:rsidRPr="005114EB">
        <w:t xml:space="preserve">min in isopentane at </w:t>
      </w:r>
      <w:r w:rsidRPr="005114EB">
        <w:rPr>
          <w:rFonts w:ascii="微软雅黑" w:eastAsia="微软雅黑" w:hAnsi="微软雅黑" w:cs="微软雅黑" w:hint="eastAsia"/>
        </w:rPr>
        <w:t>−</w:t>
      </w:r>
      <w:r w:rsidRPr="005114EB">
        <w:t>80</w:t>
      </w:r>
      <w:r w:rsidRPr="005114EB">
        <w:rPr>
          <w:rFonts w:ascii="MS Gothic" w:eastAsia="MS Gothic" w:hAnsi="MS Gothic" w:cs="MS Gothic" w:hint="eastAsia"/>
        </w:rPr>
        <w:t> </w:t>
      </w:r>
      <w:r w:rsidRPr="005114EB">
        <w:rPr>
          <w:rFonts w:ascii="等线" w:eastAsia="等线" w:hAnsi="等线" w:cs="等线" w:hint="eastAsia"/>
        </w:rPr>
        <w:t>°</w:t>
      </w:r>
      <w:r w:rsidRPr="005114EB">
        <w:t xml:space="preserve">C) and stored at </w:t>
      </w:r>
      <w:r w:rsidRPr="005114EB">
        <w:rPr>
          <w:rFonts w:ascii="微软雅黑" w:eastAsia="微软雅黑" w:hAnsi="微软雅黑" w:cs="微软雅黑" w:hint="eastAsia"/>
        </w:rPr>
        <w:t>−</w:t>
      </w:r>
      <w:r w:rsidRPr="005114EB">
        <w:t>80</w:t>
      </w:r>
      <w:r w:rsidRPr="005114EB">
        <w:rPr>
          <w:rFonts w:ascii="MS Gothic" w:eastAsia="MS Gothic" w:hAnsi="MS Gothic" w:cs="MS Gothic" w:hint="eastAsia"/>
        </w:rPr>
        <w:t> </w:t>
      </w:r>
      <w:r w:rsidRPr="005114EB">
        <w:rPr>
          <w:rFonts w:ascii="等线" w:eastAsia="等线" w:hAnsi="等线" w:cs="等线" w:hint="eastAsia"/>
        </w:rPr>
        <w:t>°</w:t>
      </w:r>
      <w:r w:rsidRPr="005114EB">
        <w:t xml:space="preserve">C until </w:t>
      </w:r>
      <w:proofErr w:type="spellStart"/>
      <w:r w:rsidRPr="005114EB">
        <w:t>cryosectioning</w:t>
      </w:r>
      <w:proofErr w:type="spellEnd"/>
      <w:r w:rsidRPr="005114EB">
        <w:t xml:space="preserve">. Three to four slices/rat were </w:t>
      </w:r>
      <w:proofErr w:type="spellStart"/>
      <w:r w:rsidRPr="005114EB">
        <w:t>choen</w:t>
      </w:r>
      <w:proofErr w:type="spellEnd"/>
      <w:r w:rsidRPr="005114EB">
        <w:t xml:space="preserve"> for immunofluorescence.</w:t>
      </w:r>
    </w:p>
    <w:p w14:paraId="181D9DE5" w14:textId="77777777" w:rsidR="005114EB" w:rsidRPr="005114EB" w:rsidRDefault="005114EB" w:rsidP="005114EB">
      <w:r w:rsidRPr="005114EB">
        <w:t>Western blot</w:t>
      </w:r>
    </w:p>
    <w:p w14:paraId="433F1276" w14:textId="77777777" w:rsidR="005114EB" w:rsidRPr="005114EB" w:rsidRDefault="005114EB" w:rsidP="005114EB">
      <w:r w:rsidRPr="005114EB">
        <w:t>The lumbar segment of ipsilateral spinal cord was homogenized in lysis buffer (</w:t>
      </w:r>
      <w:proofErr w:type="spellStart"/>
      <w:r w:rsidRPr="005114EB">
        <w:t>Beyotime</w:t>
      </w:r>
      <w:proofErr w:type="spellEnd"/>
      <w:r w:rsidRPr="005114EB">
        <w:t xml:space="preserve"> </w:t>
      </w:r>
      <w:r w:rsidRPr="005114EB">
        <w:lastRenderedPageBreak/>
        <w:t xml:space="preserve">Biotechnology, Shanghai, China) containing protease inhibitors </w:t>
      </w:r>
      <w:proofErr w:type="spellStart"/>
      <w:r w:rsidRPr="005114EB">
        <w:t>phenylmethanesulfonyl</w:t>
      </w:r>
      <w:proofErr w:type="spellEnd"/>
      <w:r w:rsidRPr="005114EB">
        <w:t xml:space="preserve"> fluoride (PMSF). Triton X-100 was added, and the homogenates were incubated on ice for 30</w:t>
      </w:r>
      <w:r w:rsidRPr="005114EB">
        <w:rPr>
          <w:rFonts w:ascii="MS Gothic" w:eastAsia="MS Gothic" w:hAnsi="MS Gothic" w:cs="MS Gothic" w:hint="eastAsia"/>
        </w:rPr>
        <w:t> </w:t>
      </w:r>
      <w:r w:rsidRPr="005114EB">
        <w:t>min followed by centrifugation at 20,000</w:t>
      </w:r>
      <w:r w:rsidRPr="005114EB">
        <w:rPr>
          <w:rFonts w:ascii="MS Gothic" w:eastAsia="MS Gothic" w:hAnsi="MS Gothic" w:cs="MS Gothic" w:hint="eastAsia"/>
        </w:rPr>
        <w:t> </w:t>
      </w:r>
      <w:r w:rsidRPr="005114EB">
        <w:rPr>
          <w:rFonts w:ascii="等线" w:eastAsia="等线" w:hAnsi="等线" w:cs="等线" w:hint="eastAsia"/>
        </w:rPr>
        <w:t>×</w:t>
      </w:r>
      <w:r w:rsidRPr="005114EB">
        <w:rPr>
          <w:rFonts w:ascii="MS Gothic" w:eastAsia="MS Gothic" w:hAnsi="MS Gothic" w:cs="MS Gothic" w:hint="eastAsia"/>
        </w:rPr>
        <w:t> </w:t>
      </w:r>
      <w:r w:rsidRPr="005114EB">
        <w:rPr>
          <w:i/>
          <w:iCs/>
        </w:rPr>
        <w:t>g</w:t>
      </w:r>
      <w:r w:rsidRPr="005114EB">
        <w:t> for 15</w:t>
      </w:r>
      <w:r w:rsidRPr="005114EB">
        <w:rPr>
          <w:rFonts w:ascii="MS Gothic" w:eastAsia="MS Gothic" w:hAnsi="MS Gothic" w:cs="MS Gothic" w:hint="eastAsia"/>
        </w:rPr>
        <w:t> </w:t>
      </w:r>
      <w:r w:rsidRPr="005114EB">
        <w:t>min. Protein concentrations were quantified and run through a 12% polyacrylamide gel and transferred to a 0.4</w:t>
      </w:r>
      <w:r w:rsidRPr="005114EB">
        <w:rPr>
          <w:rFonts w:ascii="MS Gothic" w:eastAsia="MS Gothic" w:hAnsi="MS Gothic" w:cs="MS Gothic" w:hint="eastAsia"/>
        </w:rPr>
        <w:t> </w:t>
      </w:r>
      <w:r w:rsidRPr="005114EB">
        <w:rPr>
          <w:rFonts w:ascii="等线" w:eastAsia="等线" w:hAnsi="等线" w:cs="等线" w:hint="eastAsia"/>
        </w:rPr>
        <w:t>μ</w:t>
      </w:r>
      <w:r w:rsidRPr="005114EB">
        <w:t>m polyvinylidene fluoride membrane. Membranes were then blocked with milk and incubated with rabbit anti-CXCL13 (1:1000, Abcam) for 16</w:t>
      </w:r>
      <w:r w:rsidRPr="005114EB">
        <w:rPr>
          <w:rFonts w:ascii="MS Gothic" w:eastAsia="MS Gothic" w:hAnsi="MS Gothic" w:cs="MS Gothic" w:hint="eastAsia"/>
        </w:rPr>
        <w:t> </w:t>
      </w:r>
      <w:proofErr w:type="spellStart"/>
      <w:r w:rsidRPr="005114EB">
        <w:t>h at</w:t>
      </w:r>
      <w:proofErr w:type="spellEnd"/>
      <w:r w:rsidRPr="005114EB">
        <w:t xml:space="preserve"> 4</w:t>
      </w:r>
      <w:r w:rsidRPr="005114EB">
        <w:rPr>
          <w:rFonts w:ascii="MS Gothic" w:eastAsia="MS Gothic" w:hAnsi="MS Gothic" w:cs="MS Gothic" w:hint="eastAsia"/>
        </w:rPr>
        <w:t> </w:t>
      </w:r>
      <w:r w:rsidRPr="005114EB">
        <w:rPr>
          <w:rFonts w:ascii="等线" w:eastAsia="等线" w:hAnsi="等线" w:cs="等线" w:hint="eastAsia"/>
        </w:rPr>
        <w:t>°</w:t>
      </w:r>
      <w:r w:rsidRPr="005114EB">
        <w:t>C. Primary antibody was removed a goat anti-rabbit secondary antibody conjugated with horseradish peroxidase (HRP, 1:1000, Sigma) was added for 1</w:t>
      </w:r>
      <w:r w:rsidRPr="005114EB">
        <w:rPr>
          <w:rFonts w:ascii="MS Gothic" w:eastAsia="MS Gothic" w:hAnsi="MS Gothic" w:cs="MS Gothic" w:hint="eastAsia"/>
        </w:rPr>
        <w:t> </w:t>
      </w:r>
      <w:r w:rsidRPr="005114EB">
        <w:t>h at room temperature away from any light. Target protein was examined by an enhanced chemiluminescence detection system (Pierce, USA) according to the manufacturer’s instructions. Samples were normalized with a monoclonal GAPDH antibody produced in mouse (1:1000, Abcam). Image J software (NIH, USA) was used to detect the signal intensity. For more information regarding the western blot, please refer to the </w:t>
      </w:r>
      <w:hyperlink r:id="rId216" w:anchor="MOESM49" w:history="1">
        <w:r w:rsidRPr="005114EB">
          <w:rPr>
            <w:rStyle w:val="a7"/>
          </w:rPr>
          <w:t>supplementary methods</w:t>
        </w:r>
      </w:hyperlink>
      <w:r w:rsidRPr="005114EB">
        <w:t> section.</w:t>
      </w:r>
    </w:p>
    <w:p w14:paraId="23D6FCF8" w14:textId="176BEFBC" w:rsidR="005114EB" w:rsidRDefault="005114EB">
      <w:pPr>
        <w:widowControl/>
        <w:jc w:val="left"/>
      </w:pPr>
      <w:r>
        <w:rPr>
          <w:rFonts w:hint="eastAsia"/>
        </w:rPr>
        <w:br w:type="page"/>
      </w:r>
    </w:p>
    <w:p w14:paraId="22D8B52C" w14:textId="3AD1D57C" w:rsidR="005114EB" w:rsidRDefault="00A75605" w:rsidP="005114EB">
      <w:r>
        <w:rPr>
          <w:rFonts w:hint="eastAsia"/>
        </w:rPr>
        <w:lastRenderedPageBreak/>
        <w:t>28.</w:t>
      </w:r>
      <w:hyperlink r:id="rId217" w:history="1">
        <w:r w:rsidR="00F5314E" w:rsidRPr="00F5314E">
          <w:rPr>
            <w:rStyle w:val="a7"/>
          </w:rPr>
          <w:t>JCI - Extracellular caspase-6 drives murine inflammatory pain via microglial TNF-α secretion</w:t>
        </w:r>
      </w:hyperlink>
    </w:p>
    <w:p w14:paraId="26A7DDDC" w14:textId="77777777" w:rsidR="00F5314E" w:rsidRDefault="00F5314E" w:rsidP="005114EB"/>
    <w:p w14:paraId="289875F7" w14:textId="77777777" w:rsidR="00F5314E" w:rsidRPr="00F5314E" w:rsidRDefault="00F5314E" w:rsidP="00F5314E">
      <w:pPr>
        <w:rPr>
          <w:b/>
          <w:bCs/>
        </w:rPr>
      </w:pPr>
      <w:r w:rsidRPr="00F5314E">
        <w:rPr>
          <w:rFonts w:hint="eastAsia"/>
          <w:b/>
          <w:bCs/>
        </w:rPr>
        <w:t>Extracellular caspase-6 drives murine inflammatory pain via microglial TNF-α secretion</w:t>
      </w:r>
    </w:p>
    <w:p w14:paraId="6D30340C" w14:textId="7BF25367" w:rsidR="00F5314E" w:rsidRDefault="00F5314E" w:rsidP="00F5314E">
      <w:proofErr w:type="spellStart"/>
      <w:r>
        <w:rPr>
          <w:rFonts w:hint="eastAsia"/>
        </w:rPr>
        <w:t>Temugin</w:t>
      </w:r>
      <w:proofErr w:type="spellEnd"/>
      <w:r>
        <w:rPr>
          <w:rFonts w:hint="eastAsia"/>
        </w:rPr>
        <w:t xml:space="preserve"> Berta,1 </w:t>
      </w:r>
      <w:proofErr w:type="spellStart"/>
      <w:r>
        <w:rPr>
          <w:rFonts w:hint="eastAsia"/>
        </w:rPr>
        <w:t>Chul</w:t>
      </w:r>
      <w:proofErr w:type="spellEnd"/>
      <w:r>
        <w:rPr>
          <w:rFonts w:hint="eastAsia"/>
        </w:rPr>
        <w:t xml:space="preserve">-Kyu Park,1 Zhen-Zhong Xu,1 </w:t>
      </w:r>
      <w:proofErr w:type="spellStart"/>
      <w:r>
        <w:rPr>
          <w:rFonts w:hint="eastAsia"/>
        </w:rPr>
        <w:t>Ruo</w:t>
      </w:r>
      <w:proofErr w:type="spellEnd"/>
      <w:r>
        <w:rPr>
          <w:rFonts w:hint="eastAsia"/>
        </w:rPr>
        <w:t>-Gang Xie,1 Tong Liu,1 Ning Lü,2 Yen-Chin Liu,2 and Ru-Rong Ji1,2</w:t>
      </w:r>
    </w:p>
    <w:p w14:paraId="28533DF1" w14:textId="523440ED" w:rsidR="00F5314E" w:rsidRDefault="00F5314E" w:rsidP="00F5314E">
      <w:r>
        <w:rPr>
          <w:rFonts w:hint="eastAsia"/>
          <w:noProof/>
        </w:rPr>
        <w:drawing>
          <wp:inline distT="0" distB="0" distL="0" distR="0" wp14:anchorId="0646D64A" wp14:editId="1F6EB545">
            <wp:extent cx="6016336" cy="3489475"/>
            <wp:effectExtent l="0" t="0" r="3810" b="0"/>
            <wp:docPr id="13182071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022463" cy="3493029"/>
                    </a:xfrm>
                    <a:prstGeom prst="rect">
                      <a:avLst/>
                    </a:prstGeom>
                    <a:noFill/>
                  </pic:spPr>
                </pic:pic>
              </a:graphicData>
            </a:graphic>
          </wp:inline>
        </w:drawing>
      </w:r>
    </w:p>
    <w:p w14:paraId="62BC04F2" w14:textId="2C0985C3" w:rsidR="00F5314E" w:rsidRDefault="00F5314E" w:rsidP="00F5314E">
      <w:r w:rsidRPr="00F5314E">
        <w:t>(A–C) Casp6</w:t>
      </w:r>
      <w:r w:rsidRPr="00F5314E">
        <w:rPr>
          <w:vertAlign w:val="superscript"/>
        </w:rPr>
        <w:t>–/–</w:t>
      </w:r>
      <w:r w:rsidRPr="00F5314E">
        <w:t> mice exhibit normal thermal pain (A, tail immersion test), mechanical pain (B, Randall-</w:t>
      </w:r>
      <w:proofErr w:type="spellStart"/>
      <w:r w:rsidRPr="00F5314E">
        <w:t>Selitto</w:t>
      </w:r>
      <w:proofErr w:type="spellEnd"/>
      <w:r w:rsidRPr="00F5314E">
        <w:t xml:space="preserve"> test), and motor function (C, rotarod test). n = 6 mice. (D) Time course (0–45 minutes) of formalin-induced spontaneous pain in WT and Casp6</w:t>
      </w:r>
      <w:r w:rsidRPr="00F5314E">
        <w:rPr>
          <w:vertAlign w:val="superscript"/>
        </w:rPr>
        <w:t>–/–</w:t>
      </w:r>
      <w:r w:rsidRPr="00F5314E">
        <w:t> mice. *P &lt; 0.05, compared with WT mice, n = 6–8 mice. (E) Formalin-induced first-phase (1–10 minutes) and second-phase nociceptive responses (10–45 minutes) in WT and Casp6</w:t>
      </w:r>
      <w:r w:rsidRPr="00F5314E">
        <w:rPr>
          <w:vertAlign w:val="superscript"/>
        </w:rPr>
        <w:t>–/–</w:t>
      </w:r>
      <w:r w:rsidRPr="00F5314E">
        <w:t xml:space="preserve"> mice. *P &lt; 0.05, n = 6–8 mice. (F) Spinal injection of the CASP6 inhibitor ZVEID (i.t., 1–10 </w:t>
      </w:r>
      <w:proofErr w:type="spellStart"/>
      <w:r w:rsidRPr="00F5314E">
        <w:t>μg</w:t>
      </w:r>
      <w:proofErr w:type="spellEnd"/>
      <w:r w:rsidRPr="00F5314E">
        <w:t xml:space="preserve">) reduces the second-phase pain. *P &lt; 0.05, compared with vehicle (10% DMSO), n = 5–6 mice. (G) Spinal injection of CASP6-neutralizing antibody (i.t., 1 </w:t>
      </w:r>
      <w:proofErr w:type="spellStart"/>
      <w:r w:rsidRPr="00F5314E">
        <w:t>μg</w:t>
      </w:r>
      <w:proofErr w:type="spellEnd"/>
      <w:r w:rsidRPr="00F5314E">
        <w:t xml:space="preserve">) reduces the second-phase pain. *P &lt; 0.05, n = 5–7 mice. (H and I) </w:t>
      </w:r>
      <w:proofErr w:type="spellStart"/>
      <w:r w:rsidRPr="00F5314E">
        <w:t>Perisciatic</w:t>
      </w:r>
      <w:proofErr w:type="spellEnd"/>
      <w:r w:rsidRPr="00F5314E">
        <w:t xml:space="preserve"> delivery of Casp6 siRNA (2 </w:t>
      </w:r>
      <w:proofErr w:type="spellStart"/>
      <w:r w:rsidRPr="00F5314E">
        <w:t>μg</w:t>
      </w:r>
      <w:proofErr w:type="spellEnd"/>
      <w:r w:rsidRPr="00F5314E">
        <w:t xml:space="preserve">, 6 </w:t>
      </w:r>
      <w:proofErr w:type="spellStart"/>
      <w:r w:rsidRPr="00F5314E">
        <w:t>μl</w:t>
      </w:r>
      <w:proofErr w:type="spellEnd"/>
      <w:r w:rsidRPr="00F5314E">
        <w:t>, mixed with the RVG peptide) suppresses the formalin-induced second-phase pain (H) and reduces the expression of Casp6 but not Casp1 and Casp3 in DRGs (I). Scramble siRNA served as control siRNA. *P &lt; 0.05, n = 5–8 mice.</w:t>
      </w:r>
    </w:p>
    <w:p w14:paraId="14A951C7" w14:textId="77777777" w:rsidR="00F5314E" w:rsidRDefault="00F5314E" w:rsidP="00F5314E"/>
    <w:p w14:paraId="7320B556" w14:textId="583AF9B0" w:rsidR="00F5314E" w:rsidRDefault="00F5314E" w:rsidP="00F5314E">
      <w:r>
        <w:rPr>
          <w:rFonts w:hint="eastAsia"/>
          <w:noProof/>
        </w:rPr>
        <w:lastRenderedPageBreak/>
        <w:drawing>
          <wp:inline distT="0" distB="0" distL="0" distR="0" wp14:anchorId="6121B42D" wp14:editId="1B6A5547">
            <wp:extent cx="5953991" cy="3385269"/>
            <wp:effectExtent l="0" t="0" r="8890" b="5715"/>
            <wp:docPr id="78127476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970860" cy="3394860"/>
                    </a:xfrm>
                    <a:prstGeom prst="rect">
                      <a:avLst/>
                    </a:prstGeom>
                    <a:noFill/>
                  </pic:spPr>
                </pic:pic>
              </a:graphicData>
            </a:graphic>
          </wp:inline>
        </w:drawing>
      </w:r>
    </w:p>
    <w:p w14:paraId="5DB369FA" w14:textId="1BCB6602" w:rsidR="00F5314E" w:rsidRDefault="00F5314E" w:rsidP="00F5314E">
      <w:r>
        <w:rPr>
          <w:rFonts w:hint="eastAsia"/>
        </w:rPr>
        <w:t>(A)</w:t>
      </w:r>
      <w:r w:rsidRPr="00F5314E">
        <w:t>Bradykinin-induced spontaneous pain in the second phase (5–30 minutes), but not the first phase (0–5 minutes), is reduced in Casp6</w:t>
      </w:r>
      <w:r w:rsidRPr="00F5314E">
        <w:rPr>
          <w:vertAlign w:val="superscript"/>
        </w:rPr>
        <w:t>–/–</w:t>
      </w:r>
      <w:r w:rsidRPr="00F5314E">
        <w:t> mice. *P &lt; 0.05, n = 7–8 mice. (B and C) Carrageenan-induced mechanical allodynia (B) and heat hyperalgesia (C) are reduced in Casp6</w:t>
      </w:r>
      <w:r w:rsidRPr="00F5314E">
        <w:rPr>
          <w:vertAlign w:val="superscript"/>
        </w:rPr>
        <w:t>–/–</w:t>
      </w:r>
      <w:r w:rsidRPr="00F5314E">
        <w:t> mice. *P &lt; 0.05, compared with WT mice, n = 5 mice. (D) Carrageenan-induced paw edema (measured as paw volume) is unaltered in Casp6</w:t>
      </w:r>
      <w:r w:rsidRPr="00F5314E">
        <w:rPr>
          <w:vertAlign w:val="superscript"/>
        </w:rPr>
        <w:t>–/–</w:t>
      </w:r>
      <w:r w:rsidRPr="00F5314E">
        <w:t> mice; n = 5 mice. (E and F) CFA-induced mechanical allodynia (E) but not heat hyperalgesia (F) is partially and transiently reduced in Casp6</w:t>
      </w:r>
      <w:r w:rsidRPr="00F5314E">
        <w:rPr>
          <w:vertAlign w:val="superscript"/>
        </w:rPr>
        <w:t>–/–</w:t>
      </w:r>
      <w:r w:rsidRPr="00F5314E">
        <w:t xml:space="preserve"> mice. *P &lt; 0.05, compared with WT mice, n = 5 mice. (G and H) Reversal of CFA-induced mechanical allodynia and heat hyperalgesia by CASP6-neutralizing antibody (1 </w:t>
      </w:r>
      <w:proofErr w:type="spellStart"/>
      <w:r w:rsidRPr="00F5314E">
        <w:t>μg</w:t>
      </w:r>
      <w:proofErr w:type="spellEnd"/>
      <w:r w:rsidRPr="00F5314E">
        <w:t>, i.t.) in WT mice. *P &lt; 0.05, n = 5 mice. Note that the CASP6 antibody does not affect inflammatory pain in Casp6</w:t>
      </w:r>
      <w:r w:rsidRPr="00F5314E">
        <w:rPr>
          <w:vertAlign w:val="superscript"/>
        </w:rPr>
        <w:t>–/–</w:t>
      </w:r>
      <w:r w:rsidRPr="00F5314E">
        <w:t> mice.</w:t>
      </w:r>
    </w:p>
    <w:p w14:paraId="221CFD67" w14:textId="77777777" w:rsidR="00F5314E" w:rsidRDefault="00F5314E" w:rsidP="00F5314E"/>
    <w:p w14:paraId="14F05966" w14:textId="77777777" w:rsidR="00F5314E" w:rsidRDefault="00F5314E" w:rsidP="00F5314E"/>
    <w:p w14:paraId="6F8E9731" w14:textId="77777777" w:rsidR="00F5314E" w:rsidRPr="00F5314E" w:rsidRDefault="00F5314E" w:rsidP="00F5314E">
      <w:r w:rsidRPr="00F5314E">
        <w:rPr>
          <w:i/>
          <w:iCs/>
        </w:rPr>
        <w:t>Behavioral testing.</w:t>
      </w:r>
      <w:r w:rsidRPr="00F5314E">
        <w:t xml:space="preserve"> Animals were habituated to the testing environment for at least 2 days before the testing. All the behaviors were tested in a blinded manner. We assessed formalin- and bradykinin-evoked spontaneous inflammatory pain by measuring the time (seconds) mice spent licking or flinching the affected paw every 5 minutes for 45 minutes. For testing mechanical sensitivity, </w:t>
      </w:r>
      <w:proofErr w:type="spellStart"/>
      <w:r w:rsidRPr="00F5314E">
        <w:t>hindpaws</w:t>
      </w:r>
      <w:proofErr w:type="spellEnd"/>
      <w:r w:rsidRPr="00F5314E">
        <w:t xml:space="preserve"> were stimulated with a series of von Frey hairs with logarithmically increasing stiffness (0.02–2.56 g, </w:t>
      </w:r>
      <w:proofErr w:type="spellStart"/>
      <w:r w:rsidRPr="00F5314E">
        <w:t>Stoelting</w:t>
      </w:r>
      <w:proofErr w:type="spellEnd"/>
      <w:r w:rsidRPr="00F5314E">
        <w:t>), presented perpendicularly to the central plantar surface. Thermal sensitivity was tested using a Hargreaves radiant heat apparatus and expressed as paw withdrawal latency.</w:t>
      </w:r>
    </w:p>
    <w:p w14:paraId="4C4B24EB" w14:textId="77777777" w:rsidR="00F5314E" w:rsidRPr="00F5314E" w:rsidRDefault="00F5314E" w:rsidP="00F5314E">
      <w:r w:rsidRPr="00F5314E">
        <w:rPr>
          <w:i/>
          <w:iCs/>
        </w:rPr>
        <w:t>Spinal cord slice preparation and patch clamp recordings.</w:t>
      </w:r>
      <w:r w:rsidRPr="00F5314E">
        <w:t> As we previously reported (</w:t>
      </w:r>
      <w:hyperlink r:id="rId220" w:anchor="B43" w:history="1">
        <w:r w:rsidRPr="00F5314E">
          <w:rPr>
            <w:rStyle w:val="a7"/>
          </w:rPr>
          <w:t>43</w:t>
        </w:r>
      </w:hyperlink>
      <w:r w:rsidRPr="00F5314E">
        <w:t xml:space="preserve">), the L4–L5 lumbar spinal cord segment was removed from mice under urethane anesthesia (1.5–2.0 g/kg, </w:t>
      </w:r>
      <w:proofErr w:type="spellStart"/>
      <w:r w:rsidRPr="00F5314E">
        <w:t>i.p.</w:t>
      </w:r>
      <w:proofErr w:type="spellEnd"/>
      <w:r w:rsidRPr="00F5314E">
        <w:t xml:space="preserve">) and kept in pre-oxygenated ice-cold Krebs solution. Transverse slices (400–600 </w:t>
      </w:r>
      <w:proofErr w:type="spellStart"/>
      <w:r w:rsidRPr="00F5314E">
        <w:t>μm</w:t>
      </w:r>
      <w:proofErr w:type="spellEnd"/>
      <w:r w:rsidRPr="00F5314E">
        <w:t xml:space="preserve">) were cut on a vibrating </w:t>
      </w:r>
      <w:proofErr w:type="spellStart"/>
      <w:r w:rsidRPr="00F5314E">
        <w:t>microslicer</w:t>
      </w:r>
      <w:proofErr w:type="spellEnd"/>
      <w:r w:rsidRPr="00F5314E">
        <w:t xml:space="preserve">. The slices were perfused with Krebs solution at 36°C for 1–3 hours prior to the experiment. The whole cell patch-clamp recordings were made from lamina </w:t>
      </w:r>
      <w:proofErr w:type="spellStart"/>
      <w:r w:rsidRPr="00F5314E">
        <w:t>IIo</w:t>
      </w:r>
      <w:proofErr w:type="spellEnd"/>
      <w:r w:rsidRPr="00F5314E">
        <w:t xml:space="preserve"> neurons in voltage-clamp mode. After establishing the whole-cell </w:t>
      </w:r>
      <w:r w:rsidRPr="00F5314E">
        <w:lastRenderedPageBreak/>
        <w:t xml:space="preserve">configuration, neurons were held at –70 mV to record </w:t>
      </w:r>
      <w:proofErr w:type="spellStart"/>
      <w:r w:rsidRPr="00F5314E">
        <w:t>sEPSCs</w:t>
      </w:r>
      <w:proofErr w:type="spellEnd"/>
      <w:r w:rsidRPr="00F5314E">
        <w:t xml:space="preserve">. </w:t>
      </w:r>
      <w:proofErr w:type="spellStart"/>
      <w:r w:rsidRPr="00F5314E">
        <w:t>mEPSCs</w:t>
      </w:r>
      <w:proofErr w:type="spellEnd"/>
      <w:r w:rsidRPr="00F5314E">
        <w:t xml:space="preserve"> were recorded in some neurons in the presence of 1 </w:t>
      </w:r>
      <w:proofErr w:type="spellStart"/>
      <w:r w:rsidRPr="00F5314E">
        <w:t>μM</w:t>
      </w:r>
      <w:proofErr w:type="spellEnd"/>
      <w:r w:rsidRPr="00F5314E">
        <w:t xml:space="preserve"> TTX. The resistance of a typical patch pipette is 5–10 M⁄. Membrane currents were amplified with an </w:t>
      </w:r>
      <w:proofErr w:type="spellStart"/>
      <w:r w:rsidRPr="00F5314E">
        <w:t>Axopatch</w:t>
      </w:r>
      <w:proofErr w:type="spellEnd"/>
      <w:r w:rsidRPr="00F5314E">
        <w:t xml:space="preserve"> 200B amplifier (Axon Instruments) in voltage-clamp mode. Signals were filtered at 2 kHz and digitized at 5 kHz. Data were stored with a personal computer using </w:t>
      </w:r>
      <w:proofErr w:type="spellStart"/>
      <w:r w:rsidRPr="00F5314E">
        <w:t>pCLAMP</w:t>
      </w:r>
      <w:proofErr w:type="spellEnd"/>
      <w:r w:rsidRPr="00F5314E">
        <w:t xml:space="preserve"> 10 software and analyzed with Mini Analysis (</w:t>
      </w:r>
      <w:proofErr w:type="spellStart"/>
      <w:r w:rsidRPr="00F5314E">
        <w:t>Synaptosoft</w:t>
      </w:r>
      <w:proofErr w:type="spellEnd"/>
      <w:r w:rsidRPr="00F5314E">
        <w:t xml:space="preserve"> Inc.). To measure </w:t>
      </w:r>
      <w:proofErr w:type="spellStart"/>
      <w:r w:rsidRPr="00F5314E">
        <w:t>eEPSCs</w:t>
      </w:r>
      <w:proofErr w:type="spellEnd"/>
      <w:r w:rsidRPr="00F5314E">
        <w:t xml:space="preserve"> in lamina </w:t>
      </w:r>
      <w:proofErr w:type="spellStart"/>
      <w:r w:rsidRPr="00F5314E">
        <w:t>IIo</w:t>
      </w:r>
      <w:proofErr w:type="spellEnd"/>
      <w:r w:rsidRPr="00F5314E">
        <w:t xml:space="preserve"> neurons, dorsal root enter zone was stimulated through a concentric bipolar electrode (FHC) with an isolated current stimulator. Test pulses of 0.1 </w:t>
      </w:r>
      <w:proofErr w:type="spellStart"/>
      <w:r w:rsidRPr="00F5314E">
        <w:t>ms</w:t>
      </w:r>
      <w:proofErr w:type="spellEnd"/>
      <w:r w:rsidRPr="00F5314E">
        <w:t xml:space="preserve"> with intensity of 3 mA were given at 30 second intervals and monosynaptic C-fiber responses were recorded. Synaptic strength was quantified by the peak amplitudes of </w:t>
      </w:r>
      <w:proofErr w:type="spellStart"/>
      <w:r w:rsidRPr="00F5314E">
        <w:t>eEPSCs</w:t>
      </w:r>
      <w:proofErr w:type="spellEnd"/>
      <w:r w:rsidRPr="00F5314E">
        <w:t>. The mean amplitude of 4–5 EPSCs evoked by test stimuli prior to conditioning stimulation served as control.</w:t>
      </w:r>
    </w:p>
    <w:p w14:paraId="79D4176C" w14:textId="77777777" w:rsidR="00F5314E" w:rsidRPr="00F5314E" w:rsidRDefault="00F5314E" w:rsidP="00F5314E">
      <w:r w:rsidRPr="00F5314E">
        <w:rPr>
          <w:i/>
          <w:iCs/>
        </w:rPr>
        <w:t>Spinal cord LTP recordings in anesthetized mice.</w:t>
      </w:r>
      <w:r w:rsidRPr="00F5314E">
        <w:t> As we reported previously (</w:t>
      </w:r>
      <w:hyperlink r:id="rId221" w:anchor="B43" w:history="1">
        <w:r w:rsidRPr="00F5314E">
          <w:rPr>
            <w:rStyle w:val="a7"/>
          </w:rPr>
          <w:t>43</w:t>
        </w:r>
      </w:hyperlink>
      <w:r w:rsidRPr="00F5314E">
        <w:t xml:space="preserve">), mice were anesthetized with urethane (1.5 g/kg, </w:t>
      </w:r>
      <w:proofErr w:type="spellStart"/>
      <w:r w:rsidRPr="00F5314E">
        <w:t>i.p.</w:t>
      </w:r>
      <w:proofErr w:type="spellEnd"/>
      <w:r w:rsidRPr="00F5314E">
        <w:t xml:space="preserve">), and a laminectomy was performed at vertebrae T13–L1 to expose the lumbar enlargement. Following electrical stimulation of the sciatic nerve, the field potentials were recorded in the ipsilateral L4–L5 spinal cord segments with glass microelectrodes, 100–300 </w:t>
      </w:r>
      <w:proofErr w:type="spellStart"/>
      <w:r w:rsidRPr="00F5314E">
        <w:t>μm</w:t>
      </w:r>
      <w:proofErr w:type="spellEnd"/>
      <w:r w:rsidRPr="00F5314E">
        <w:t xml:space="preserve"> from the surface of the cord. After recording stable responses following test stimuli (2× C-fiber threshold, 0.5 </w:t>
      </w:r>
      <w:proofErr w:type="spellStart"/>
      <w:r w:rsidRPr="00F5314E">
        <w:t>ms</w:t>
      </w:r>
      <w:proofErr w:type="spellEnd"/>
      <w:r w:rsidRPr="00F5314E">
        <w:t>, every 5 minutes) for more than 40 minutes, conditioning tetanic stimulation (5× C-fiber threshold, 100 Hz, 1 second duration, 4 trains, and 10 second interval) was delivered to the sciatic nerve for inducing LTP of C-fiber–evoked field potentials. For i.t. drug delivery, a PE5 catheter was inserted via lumbar puncture.</w:t>
      </w:r>
    </w:p>
    <w:p w14:paraId="58937215" w14:textId="77777777" w:rsidR="00F5314E" w:rsidRPr="00F5314E" w:rsidRDefault="00F5314E" w:rsidP="00F5314E">
      <w:r w:rsidRPr="00F5314E">
        <w:rPr>
          <w:i/>
          <w:iCs/>
        </w:rPr>
        <w:t>Primary cultures of microglia.</w:t>
      </w:r>
      <w:r w:rsidRPr="00F5314E">
        <w:t xml:space="preserve"> Microglia cultures were prepared from cerebral cortexes and spinal cords of 2-day-old postnatal mice. Tissues were then minced into approximately 1 mm pieces, triturated, filtered through a 100 </w:t>
      </w:r>
      <w:proofErr w:type="spellStart"/>
      <w:r w:rsidRPr="00F5314E">
        <w:t>μm</w:t>
      </w:r>
      <w:proofErr w:type="spellEnd"/>
      <w:r w:rsidRPr="00F5314E">
        <w:t xml:space="preserve"> nylon screen, and collected by centrifugation at approximately 3,000 </w:t>
      </w:r>
      <w:r w:rsidRPr="00F5314E">
        <w:rPr>
          <w:i/>
          <w:iCs/>
        </w:rPr>
        <w:t>g</w:t>
      </w:r>
      <w:r w:rsidRPr="00F5314E">
        <w:t xml:space="preserve"> for 5 minutes. The cell pellets were dissociated with a pipette and resuspended in medium containing 10% fetal bovine serum in high-glucose DMEM. After trituration, the cells were filtered through a 10 </w:t>
      </w:r>
      <w:proofErr w:type="spellStart"/>
      <w:r w:rsidRPr="00F5314E">
        <w:t>μm</w:t>
      </w:r>
      <w:proofErr w:type="spellEnd"/>
      <w:r w:rsidRPr="00F5314E">
        <w:t xml:space="preserve"> screen, plated into T75 flasks, and cultured for 3 weeks. The mixed glia </w:t>
      </w:r>
      <w:proofErr w:type="gramStart"/>
      <w:r w:rsidRPr="00F5314E">
        <w:t>were</w:t>
      </w:r>
      <w:proofErr w:type="gramEnd"/>
      <w:r w:rsidRPr="00F5314E">
        <w:t xml:space="preserve"> shaken for 4 hours, and the floating cells were collected and </w:t>
      </w:r>
      <w:proofErr w:type="spellStart"/>
      <w:r w:rsidRPr="00F5314E">
        <w:t>subcultured</w:t>
      </w:r>
      <w:proofErr w:type="spellEnd"/>
      <w:r w:rsidRPr="00F5314E">
        <w:t xml:space="preserve"> at a density of 2.5 × 10</w:t>
      </w:r>
      <w:r w:rsidRPr="00F5314E">
        <w:rPr>
          <w:vertAlign w:val="superscript"/>
        </w:rPr>
        <w:t>5</w:t>
      </w:r>
      <w:r w:rsidRPr="00F5314E">
        <w:t> cells/ml. After 1 day of plating, the medium was changed to discharge all non-adherent cells. This method resulted in greater than 95% purity of microglia, as assessed by IBA1 and DAPI staining.</w:t>
      </w:r>
    </w:p>
    <w:p w14:paraId="73D7522C" w14:textId="44A58634" w:rsidR="00F5314E" w:rsidRDefault="00F5314E">
      <w:pPr>
        <w:widowControl/>
        <w:jc w:val="left"/>
      </w:pPr>
      <w:r>
        <w:rPr>
          <w:rFonts w:hint="eastAsia"/>
        </w:rPr>
        <w:br w:type="page"/>
      </w:r>
    </w:p>
    <w:p w14:paraId="1D1A4B2A" w14:textId="5D7721C6" w:rsidR="00F5314E" w:rsidRDefault="00A75605" w:rsidP="00F5314E">
      <w:r>
        <w:rPr>
          <w:rFonts w:hint="eastAsia"/>
        </w:rPr>
        <w:lastRenderedPageBreak/>
        <w:t>29.</w:t>
      </w:r>
      <w:hyperlink r:id="rId222" w:history="1">
        <w:r w:rsidR="00F533AA" w:rsidRPr="00F533AA">
          <w:rPr>
            <w:rStyle w:val="a7"/>
          </w:rPr>
          <w:t>Inhibition of mechanical allodynia in neuropathic pain by TLR5-mediated A-fiber blockade - PMC</w:t>
        </w:r>
      </w:hyperlink>
    </w:p>
    <w:p w14:paraId="7ECB6892" w14:textId="77777777" w:rsidR="00F533AA" w:rsidRDefault="00F533AA" w:rsidP="00F5314E"/>
    <w:p w14:paraId="33304907" w14:textId="77777777" w:rsidR="00F533AA" w:rsidRPr="00F533AA" w:rsidRDefault="00F533AA" w:rsidP="00F533AA">
      <w:pPr>
        <w:rPr>
          <w:b/>
          <w:bCs/>
        </w:rPr>
      </w:pPr>
      <w:r w:rsidRPr="00F533AA">
        <w:rPr>
          <w:rFonts w:hint="eastAsia"/>
          <w:b/>
          <w:bCs/>
        </w:rPr>
        <w:t>Inhibition of mechanical allodynia in neuropathic pain by TLR5-mediated A-fiber blockade</w:t>
      </w:r>
    </w:p>
    <w:p w14:paraId="741AB30F" w14:textId="5E6E5AF9" w:rsidR="00F533AA" w:rsidRDefault="00F533AA" w:rsidP="00F533AA">
      <w:r>
        <w:rPr>
          <w:rFonts w:hint="eastAsia"/>
        </w:rPr>
        <w:t xml:space="preserve">Zhen-Zhong Xu 1,2,5, Yong Ho Kim 1,2,3,5, </w:t>
      </w:r>
      <w:proofErr w:type="spellStart"/>
      <w:r>
        <w:rPr>
          <w:rFonts w:hint="eastAsia"/>
        </w:rPr>
        <w:t>Sangsu</w:t>
      </w:r>
      <w:proofErr w:type="spellEnd"/>
      <w:r>
        <w:rPr>
          <w:rFonts w:hint="eastAsia"/>
        </w:rPr>
        <w:t xml:space="preserve"> Bang 1,2,5, Yi Zhang 2,5, </w:t>
      </w:r>
      <w:proofErr w:type="spellStart"/>
      <w:r>
        <w:rPr>
          <w:rFonts w:hint="eastAsia"/>
        </w:rPr>
        <w:t>Temugin</w:t>
      </w:r>
      <w:proofErr w:type="spellEnd"/>
      <w:r>
        <w:rPr>
          <w:rFonts w:hint="eastAsia"/>
        </w:rPr>
        <w:t xml:space="preserve"> Berta 1,2, Fan Wang 2, </w:t>
      </w:r>
      <w:proofErr w:type="spellStart"/>
      <w:r>
        <w:rPr>
          <w:rFonts w:hint="eastAsia"/>
        </w:rPr>
        <w:t>Seog</w:t>
      </w:r>
      <w:proofErr w:type="spellEnd"/>
      <w:r>
        <w:rPr>
          <w:rFonts w:hint="eastAsia"/>
        </w:rPr>
        <w:t xml:space="preserve"> Bae Oh 3,4, Ru-Rong Ji</w:t>
      </w:r>
    </w:p>
    <w:p w14:paraId="6B70B28E" w14:textId="787FB98D" w:rsidR="00F533AA" w:rsidRDefault="00A46859" w:rsidP="00F533AA">
      <w:r>
        <w:rPr>
          <w:rFonts w:hint="eastAsia"/>
          <w:noProof/>
        </w:rPr>
        <w:drawing>
          <wp:inline distT="0" distB="0" distL="0" distR="0" wp14:anchorId="42847029" wp14:editId="0A4EE784">
            <wp:extent cx="5195455" cy="5818910"/>
            <wp:effectExtent l="0" t="0" r="5715" b="0"/>
            <wp:docPr id="106526548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201883" cy="5826109"/>
                    </a:xfrm>
                    <a:prstGeom prst="rect">
                      <a:avLst/>
                    </a:prstGeom>
                    <a:noFill/>
                  </pic:spPr>
                </pic:pic>
              </a:graphicData>
            </a:graphic>
          </wp:inline>
        </w:drawing>
      </w:r>
    </w:p>
    <w:p w14:paraId="7900C343" w14:textId="35543140" w:rsidR="00A46859" w:rsidRDefault="00A46859" w:rsidP="00F533AA">
      <w:r>
        <w:rPr>
          <w:rFonts w:hint="eastAsia"/>
        </w:rPr>
        <w:t>(a)</w:t>
      </w:r>
      <w:r w:rsidRPr="00A46859">
        <w:t xml:space="preserve">Reversal of paclitaxel (PAX)-induced mechanical allodynia by </w:t>
      </w:r>
      <w:proofErr w:type="spellStart"/>
      <w:r w:rsidRPr="00A46859">
        <w:t>intraplantar</w:t>
      </w:r>
      <w:proofErr w:type="spellEnd"/>
      <w:r w:rsidRPr="00A46859">
        <w:t xml:space="preserve"> A-fiber blockade (0.1–0.9 </w:t>
      </w:r>
      <w:proofErr w:type="spellStart"/>
      <w:r w:rsidRPr="00A46859">
        <w:t>μg</w:t>
      </w:r>
      <w:proofErr w:type="spellEnd"/>
      <w:r w:rsidRPr="00A46859">
        <w:t xml:space="preserve"> flagellin (Fla)/6 mM QX-314) but not C-fiber blockade (10 </w:t>
      </w:r>
      <w:proofErr w:type="spellStart"/>
      <w:r w:rsidRPr="00A46859">
        <w:t>μg</w:t>
      </w:r>
      <w:proofErr w:type="spellEnd"/>
      <w:r w:rsidRPr="00A46859">
        <w:t xml:space="preserve"> capsaicin (Cap)/6 mM QX-314). *</w:t>
      </w:r>
      <w:r w:rsidRPr="00A46859">
        <w:rPr>
          <w:i/>
          <w:iCs/>
        </w:rPr>
        <w:t>P</w:t>
      </w:r>
      <w:r w:rsidRPr="00A46859">
        <w:t>&lt;0.05, vs. vehicle, Two-Way ANOVA. </w:t>
      </w:r>
      <w:r w:rsidRPr="00A46859">
        <w:rPr>
          <w:i/>
          <w:iCs/>
        </w:rPr>
        <w:t>n</w:t>
      </w:r>
      <w:r w:rsidRPr="00A46859">
        <w:t> = 5 mice/group. (</w:t>
      </w:r>
      <w:r w:rsidRPr="00A46859">
        <w:rPr>
          <w:b/>
          <w:bCs/>
        </w:rPr>
        <w:t>b</w:t>
      </w:r>
      <w:r w:rsidRPr="00A46859">
        <w:t xml:space="preserve">) </w:t>
      </w:r>
      <w:proofErr w:type="spellStart"/>
      <w:r w:rsidRPr="00A46859">
        <w:t>Intraplantar</w:t>
      </w:r>
      <w:proofErr w:type="spellEnd"/>
      <w:r w:rsidRPr="00A46859">
        <w:t xml:space="preserve"> A-fiber blockade inhibits PAX-induced mechanical allodynia in WT but not </w:t>
      </w:r>
      <w:r w:rsidRPr="00A46859">
        <w:rPr>
          <w:i/>
          <w:iCs/>
        </w:rPr>
        <w:t>Tlr5</w:t>
      </w:r>
      <w:r w:rsidRPr="00A46859">
        <w:rPr>
          <w:rFonts w:ascii="微软雅黑" w:eastAsia="微软雅黑" w:hAnsi="微软雅黑" w:cs="微软雅黑" w:hint="eastAsia"/>
          <w:vertAlign w:val="superscript"/>
        </w:rPr>
        <w:t>−</w:t>
      </w:r>
      <w:r w:rsidRPr="00A46859">
        <w:rPr>
          <w:vertAlign w:val="superscript"/>
        </w:rPr>
        <w:t>/</w:t>
      </w:r>
      <w:r w:rsidRPr="00A46859">
        <w:rPr>
          <w:rFonts w:ascii="微软雅黑" w:eastAsia="微软雅黑" w:hAnsi="微软雅黑" w:cs="微软雅黑" w:hint="eastAsia"/>
          <w:vertAlign w:val="superscript"/>
        </w:rPr>
        <w:t>−</w:t>
      </w:r>
      <w:r w:rsidRPr="00A46859">
        <w:t> mice. *</w:t>
      </w:r>
      <w:r w:rsidRPr="00A46859">
        <w:rPr>
          <w:i/>
          <w:iCs/>
        </w:rPr>
        <w:t>P</w:t>
      </w:r>
      <w:r w:rsidRPr="00A46859">
        <w:t>&lt;0.05, Two-Way ANOVA. </w:t>
      </w:r>
      <w:r w:rsidRPr="00A46859">
        <w:rPr>
          <w:i/>
          <w:iCs/>
        </w:rPr>
        <w:t>n</w:t>
      </w:r>
      <w:r w:rsidRPr="00A46859">
        <w:t> = 5 mice/group. (</w:t>
      </w:r>
      <w:r w:rsidRPr="00A46859">
        <w:rPr>
          <w:b/>
          <w:bCs/>
        </w:rPr>
        <w:t>c</w:t>
      </w:r>
      <w:r w:rsidRPr="00A46859">
        <w:t xml:space="preserve">) Repeated applications of 0.3 </w:t>
      </w:r>
      <w:proofErr w:type="spellStart"/>
      <w:r w:rsidRPr="00A46859">
        <w:t>μg</w:t>
      </w:r>
      <w:proofErr w:type="spellEnd"/>
      <w:r w:rsidRPr="00A46859">
        <w:t xml:space="preserve"> flagellin/6 mM QX-314, once a day for 5 days, persistently inhibit PAX-elicited mechanical allodynia, assessed 1 </w:t>
      </w:r>
      <w:r w:rsidRPr="00A46859">
        <w:lastRenderedPageBreak/>
        <w:t>h after each injection. QX-314 (6 mM) was used a vehicle. *</w:t>
      </w:r>
      <w:r w:rsidRPr="00A46859">
        <w:rPr>
          <w:i/>
          <w:iCs/>
        </w:rPr>
        <w:t>P</w:t>
      </w:r>
      <w:r w:rsidRPr="00A46859">
        <w:t>&lt;0.05, Two-Way ANOVA. </w:t>
      </w:r>
      <w:r w:rsidRPr="00A46859">
        <w:rPr>
          <w:i/>
          <w:iCs/>
        </w:rPr>
        <w:t>n</w:t>
      </w:r>
      <w:r w:rsidRPr="00A46859">
        <w:t> = 5 mice/group. (</w:t>
      </w:r>
      <w:r w:rsidRPr="00A46859">
        <w:rPr>
          <w:b/>
          <w:bCs/>
        </w:rPr>
        <w:t>d</w:t>
      </w:r>
      <w:r w:rsidRPr="00A46859">
        <w:t>) Inhibition of ongoing pain by A-fiber (</w:t>
      </w:r>
      <w:r w:rsidRPr="00A46859">
        <w:rPr>
          <w:i/>
          <w:iCs/>
        </w:rPr>
        <w:t>n</w:t>
      </w:r>
      <w:r w:rsidRPr="00A46859">
        <w:t> = 7 mice) but not C-fiber (</w:t>
      </w:r>
      <w:r w:rsidRPr="00A46859">
        <w:rPr>
          <w:i/>
          <w:iCs/>
        </w:rPr>
        <w:t>n</w:t>
      </w:r>
      <w:r w:rsidRPr="00A46859">
        <w:t> = 5 mice) blockade, as revealed by CPP test showing difference score of time a mouse spent in nerve block-paired chamber (test time minus preconditioning time). *</w:t>
      </w:r>
      <w:r w:rsidRPr="00A46859">
        <w:rPr>
          <w:i/>
          <w:iCs/>
        </w:rPr>
        <w:t>P</w:t>
      </w:r>
      <w:r w:rsidRPr="00A46859">
        <w:t>&lt;0.05, two-tailed student’s t-test. (</w:t>
      </w:r>
      <w:r w:rsidRPr="00A46859">
        <w:rPr>
          <w:b/>
          <w:bCs/>
        </w:rPr>
        <w:t>e</w:t>
      </w:r>
      <w:r w:rsidRPr="00A46859">
        <w:t xml:space="preserve">) Rota-rod test shows normal motor function following </w:t>
      </w:r>
      <w:proofErr w:type="spellStart"/>
      <w:r w:rsidRPr="00A46859">
        <w:t>intraplantar</w:t>
      </w:r>
      <w:proofErr w:type="spellEnd"/>
      <w:r w:rsidRPr="00A46859">
        <w:t xml:space="preserve"> A-fiber and C-fiber blockade. </w:t>
      </w:r>
      <w:r w:rsidRPr="00A46859">
        <w:rPr>
          <w:i/>
          <w:iCs/>
        </w:rPr>
        <w:t>n</w:t>
      </w:r>
      <w:r w:rsidRPr="00A46859">
        <w:t> = 5 mice/group. (</w:t>
      </w:r>
      <w:r w:rsidRPr="00A46859">
        <w:rPr>
          <w:b/>
          <w:bCs/>
        </w:rPr>
        <w:t>f</w:t>
      </w:r>
      <w:r w:rsidRPr="00A46859">
        <w:t xml:space="preserve">) Distinct effects of </w:t>
      </w:r>
      <w:proofErr w:type="spellStart"/>
      <w:r w:rsidRPr="00A46859">
        <w:t>intraplantar</w:t>
      </w:r>
      <w:proofErr w:type="spellEnd"/>
      <w:r w:rsidRPr="00A46859">
        <w:t xml:space="preserve"> A-fiber blockade vs. C-fiber blockade on CCI-induced mechanical allodynia. *</w:t>
      </w:r>
      <w:r w:rsidRPr="00A46859">
        <w:rPr>
          <w:i/>
          <w:iCs/>
        </w:rPr>
        <w:t>P</w:t>
      </w:r>
      <w:r w:rsidRPr="00A46859">
        <w:t>&lt;0.05, Two-Way ANOVA. </w:t>
      </w:r>
      <w:r w:rsidRPr="00A46859">
        <w:rPr>
          <w:i/>
          <w:iCs/>
        </w:rPr>
        <w:t>n</w:t>
      </w:r>
      <w:r w:rsidRPr="00A46859">
        <w:t xml:space="preserve"> = 5 mice/group. In b-d and f, A-fiber blockade was induced by 0.3 </w:t>
      </w:r>
      <w:proofErr w:type="spellStart"/>
      <w:r w:rsidRPr="00A46859">
        <w:t>μg</w:t>
      </w:r>
      <w:proofErr w:type="spellEnd"/>
      <w:r w:rsidRPr="00A46859">
        <w:t xml:space="preserve"> flagellin/6 mM QX-314 and C-fiber blockade was induced by 10 </w:t>
      </w:r>
      <w:proofErr w:type="spellStart"/>
      <w:r w:rsidRPr="00A46859">
        <w:t>μg</w:t>
      </w:r>
      <w:proofErr w:type="spellEnd"/>
      <w:r w:rsidRPr="00A46859">
        <w:t xml:space="preserve"> capsaicin/6 mM QX-314. All data were expressed as mean ± </w:t>
      </w:r>
      <w:proofErr w:type="spellStart"/>
      <w:r w:rsidRPr="00A46859">
        <w:t>s.e.m.</w:t>
      </w:r>
      <w:proofErr w:type="spellEnd"/>
    </w:p>
    <w:p w14:paraId="195145AA" w14:textId="77777777" w:rsidR="00A46859" w:rsidRDefault="00A46859" w:rsidP="00F533AA"/>
    <w:p w14:paraId="7EBE5154" w14:textId="77777777" w:rsidR="00A46859" w:rsidRDefault="00A46859" w:rsidP="00F533AA"/>
    <w:p w14:paraId="115EFBB3" w14:textId="77777777" w:rsidR="00A46859" w:rsidRPr="00A46859" w:rsidRDefault="00A46859" w:rsidP="00A46859">
      <w:r w:rsidRPr="00A46859">
        <w:t>Animal models of pain and drug injection</w:t>
      </w:r>
    </w:p>
    <w:p w14:paraId="03EAB7E8" w14:textId="77777777" w:rsidR="00A46859" w:rsidRPr="00A46859" w:rsidRDefault="00A46859" w:rsidP="00A46859">
      <w:r w:rsidRPr="00A46859">
        <w:t>Intraperitoneal (</w:t>
      </w:r>
      <w:proofErr w:type="spellStart"/>
      <w:r w:rsidRPr="00A46859">
        <w:t>i.p.</w:t>
      </w:r>
      <w:proofErr w:type="spellEnd"/>
      <w:r w:rsidRPr="00A46859">
        <w:t>) injection of paclitaxel (PAX, 6 mg/kg for a single injection or 2 mg/kg for multiple injections at day 0, 2, 4, and 6) was given to generate chemotherapy-associated neuropathic pain</w:t>
      </w:r>
      <w:hyperlink r:id="rId224" w:anchor="R20" w:history="1">
        <w:r w:rsidRPr="00A46859">
          <w:rPr>
            <w:rStyle w:val="a7"/>
            <w:vertAlign w:val="superscript"/>
          </w:rPr>
          <w:t>20</w:t>
        </w:r>
      </w:hyperlink>
      <w:r w:rsidRPr="00A46859">
        <w:t>. Both CD1 mice (males, for dose-response experiment) and C57BL/6 mice (males, WT and </w:t>
      </w:r>
      <w:r w:rsidRPr="00A46859">
        <w:rPr>
          <w:i/>
          <w:iCs/>
        </w:rPr>
        <w:t>Tlr5</w:t>
      </w:r>
      <w:r w:rsidRPr="00A46859">
        <w:rPr>
          <w:rFonts w:ascii="微软雅黑" w:eastAsia="微软雅黑" w:hAnsi="微软雅黑" w:cs="微软雅黑" w:hint="eastAsia"/>
          <w:vertAlign w:val="superscript"/>
        </w:rPr>
        <w:t>−</w:t>
      </w:r>
      <w:r w:rsidRPr="00A46859">
        <w:rPr>
          <w:vertAlign w:val="superscript"/>
        </w:rPr>
        <w:t>/</w:t>
      </w:r>
      <w:r w:rsidRPr="00A46859">
        <w:rPr>
          <w:rFonts w:ascii="微软雅黑" w:eastAsia="微软雅黑" w:hAnsi="微软雅黑" w:cs="微软雅黑" w:hint="eastAsia"/>
          <w:vertAlign w:val="superscript"/>
        </w:rPr>
        <w:t>−</w:t>
      </w:r>
      <w:r w:rsidRPr="00A46859">
        <w:t>) were used. To produce streptozotocin (STZ)-induced diabetic neuropathy, male CD1 mice received a single intraperitoneal injection of STZ (75 mg/kg), as previously reported</w:t>
      </w:r>
      <w:hyperlink r:id="rId225" w:anchor="R40" w:history="1">
        <w:r w:rsidRPr="00A46859">
          <w:rPr>
            <w:rStyle w:val="a7"/>
            <w:vertAlign w:val="superscript"/>
          </w:rPr>
          <w:t>40</w:t>
        </w:r>
      </w:hyperlink>
      <w:r w:rsidRPr="00A46859">
        <w:t>. To produce trauma-induced neuropathic pain model, we performed chronic constriction injury (CCI) in male C57BL/6 mice under isoflurane anesthesia</w:t>
      </w:r>
      <w:hyperlink r:id="rId226" w:anchor="R24" w:history="1">
        <w:r w:rsidRPr="00A46859">
          <w:rPr>
            <w:rStyle w:val="a7"/>
            <w:vertAlign w:val="superscript"/>
          </w:rPr>
          <w:t>24</w:t>
        </w:r>
      </w:hyperlink>
      <w:r w:rsidRPr="00A46859">
        <w:rPr>
          <w:vertAlign w:val="superscript"/>
        </w:rPr>
        <w:t>, </w:t>
      </w:r>
      <w:hyperlink r:id="rId227" w:anchor="R26" w:history="1">
        <w:r w:rsidRPr="00A46859">
          <w:rPr>
            <w:rStyle w:val="a7"/>
            <w:vertAlign w:val="superscript"/>
          </w:rPr>
          <w:t>26</w:t>
        </w:r>
      </w:hyperlink>
      <w:r w:rsidRPr="00A46859">
        <w:t xml:space="preserve">. For </w:t>
      </w:r>
      <w:proofErr w:type="spellStart"/>
      <w:r w:rsidRPr="00A46859">
        <w:t>intraplantar</w:t>
      </w:r>
      <w:proofErr w:type="spellEnd"/>
      <w:r w:rsidRPr="00A46859">
        <w:t xml:space="preserve"> injection, drugs were injected using a Hamilton </w:t>
      </w:r>
      <w:proofErr w:type="spellStart"/>
      <w:r w:rsidRPr="00A46859">
        <w:t>microsyringe</w:t>
      </w:r>
      <w:proofErr w:type="spellEnd"/>
      <w:r w:rsidRPr="00A46859">
        <w:t xml:space="preserve"> (Hamilton) with a 30-gauge needle. Neuropathic pain behaviors were tested 1 week after STZ injection, 2 and 4 weeks after CCI, and 1 week after PAX injection.</w:t>
      </w:r>
    </w:p>
    <w:p w14:paraId="5E9DE365" w14:textId="77777777" w:rsidR="00A46859" w:rsidRPr="00A46859" w:rsidRDefault="00A46859" w:rsidP="00A46859">
      <w:r w:rsidRPr="00A46859">
        <w:t>Quantitative real-time RT-PCR</w:t>
      </w:r>
    </w:p>
    <w:p w14:paraId="6A2988A8" w14:textId="77777777" w:rsidR="00A46859" w:rsidRPr="00A46859" w:rsidRDefault="00A46859" w:rsidP="00A46859">
      <w:r w:rsidRPr="00A46859">
        <w:t xml:space="preserve">DRG tissues were rapidly isolated in </w:t>
      </w:r>
      <w:proofErr w:type="spellStart"/>
      <w:r w:rsidRPr="00A46859">
        <w:t>RNAse</w:t>
      </w:r>
      <w:proofErr w:type="spellEnd"/>
      <w:r w:rsidRPr="00A46859">
        <w:t xml:space="preserve"> free conditions. Total RNAs were extracted using RNeasy Plus Mini kit (Qiagen). Quantity and quality of the eluted RNA samples were verified by </w:t>
      </w:r>
      <w:proofErr w:type="spellStart"/>
      <w:r w:rsidRPr="00A46859">
        <w:t>NanoDrop</w:t>
      </w:r>
      <w:proofErr w:type="spellEnd"/>
      <w:r w:rsidRPr="00A46859">
        <w:t xml:space="preserve"> spectrophotometer (Thermo Fisher Scientific). Total RNAs (0.5 </w:t>
      </w:r>
      <w:proofErr w:type="spellStart"/>
      <w:r w:rsidRPr="00A46859">
        <w:t>μg</w:t>
      </w:r>
      <w:proofErr w:type="spellEnd"/>
      <w:r w:rsidRPr="00A46859">
        <w:t xml:space="preserve">) were reverse-transcribed using the </w:t>
      </w:r>
      <w:proofErr w:type="spellStart"/>
      <w:r w:rsidRPr="00A46859">
        <w:t>QuantiTect</w:t>
      </w:r>
      <w:proofErr w:type="spellEnd"/>
      <w:r w:rsidRPr="00A46859">
        <w:t xml:space="preserve"> Reverse Transcription Kit according to the protocol of the manufacturer (Qiagen). Specific primers including were designed using IDT </w:t>
      </w:r>
      <w:proofErr w:type="spellStart"/>
      <w:r w:rsidRPr="00A46859">
        <w:t>SciTools</w:t>
      </w:r>
      <w:proofErr w:type="spellEnd"/>
      <w:r w:rsidRPr="00A46859">
        <w:t xml:space="preserve"> Real-Time PCR web tool and ordered from IDT (Integrated DNA Technologies). The sequences of murine TLR primers are described in </w:t>
      </w:r>
      <w:hyperlink r:id="rId228" w:anchor="SD1" w:history="1">
        <w:r w:rsidRPr="00A46859">
          <w:rPr>
            <w:rStyle w:val="a7"/>
          </w:rPr>
          <w:t>Supplementary Table 1</w:t>
        </w:r>
      </w:hyperlink>
      <w:r w:rsidRPr="00A46859">
        <w:t>. We performed gene-specific mRNA analyses using the Bio-Rad CFX96 Real-Time RT-PCR system (</w:t>
      </w:r>
      <w:proofErr w:type="spellStart"/>
      <w:r w:rsidRPr="00A46859">
        <w:t>BioRad</w:t>
      </w:r>
      <w:proofErr w:type="spellEnd"/>
      <w:r w:rsidRPr="00A46859">
        <w:t xml:space="preserve">). Quantitative PCR amplification reactions contained the same amount of reverse transcription (RT) product, including 7.5 </w:t>
      </w:r>
      <w:proofErr w:type="spellStart"/>
      <w:r w:rsidRPr="00A46859">
        <w:t>μL</w:t>
      </w:r>
      <w:proofErr w:type="spellEnd"/>
      <w:r w:rsidRPr="00A46859">
        <w:t xml:space="preserve"> of Kapa </w:t>
      </w:r>
      <w:proofErr w:type="spellStart"/>
      <w:r w:rsidRPr="00A46859">
        <w:t>Sybr</w:t>
      </w:r>
      <w:proofErr w:type="spellEnd"/>
      <w:r w:rsidRPr="00A46859">
        <w:t xml:space="preserve">® Fast Bio-Rad </w:t>
      </w:r>
      <w:proofErr w:type="spellStart"/>
      <w:r w:rsidRPr="00A46859">
        <w:t>iCycler</w:t>
      </w:r>
      <w:proofErr w:type="spellEnd"/>
      <w:r w:rsidRPr="00A46859">
        <w:t xml:space="preserve"> 2X qPCR Master Mix (Kapa Biosystems) and 200 </w:t>
      </w:r>
      <w:proofErr w:type="spellStart"/>
      <w:r w:rsidRPr="00A46859">
        <w:t>nM</w:t>
      </w:r>
      <w:proofErr w:type="spellEnd"/>
      <w:r w:rsidRPr="00A46859">
        <w:t xml:space="preserve"> of forward and reverse primers in a final volume of 15 </w:t>
      </w:r>
      <w:proofErr w:type="spellStart"/>
      <w:r w:rsidRPr="00A46859">
        <w:t>μL</w:t>
      </w:r>
      <w:proofErr w:type="spellEnd"/>
      <w:r w:rsidRPr="00A46859">
        <w:t>. The thermal cycling conditions comprised 3 min of polymerase activation at 95 °C, 45 cycles of 10 s denaturation at 95 °C, and 30 s annealing and extension at 60 °C, followed by a DNA melting curve for the determination of amplicon specificity. The expression level of the target mRNA was normalized to expression of GAPDH mRNA and analyze by the standard 2</w:t>
      </w:r>
      <w:r w:rsidRPr="00A46859">
        <w:rPr>
          <w:rFonts w:ascii="微软雅黑" w:eastAsia="微软雅黑" w:hAnsi="微软雅黑" w:cs="微软雅黑" w:hint="eastAsia"/>
          <w:vertAlign w:val="superscript"/>
        </w:rPr>
        <w:t>−</w:t>
      </w:r>
      <w:r w:rsidRPr="00A46859">
        <w:rPr>
          <w:vertAlign w:val="superscript"/>
        </w:rPr>
        <w:t>ΔΔCT</w:t>
      </w:r>
      <w:r w:rsidRPr="00A46859">
        <w:t> method</w:t>
      </w:r>
      <w:hyperlink r:id="rId229" w:anchor="R41" w:history="1">
        <w:r w:rsidRPr="00A46859">
          <w:rPr>
            <w:rStyle w:val="a7"/>
            <w:vertAlign w:val="superscript"/>
          </w:rPr>
          <w:t>41</w:t>
        </w:r>
      </w:hyperlink>
      <w:r w:rsidRPr="00A46859">
        <w:t>.</w:t>
      </w:r>
    </w:p>
    <w:p w14:paraId="566C959B" w14:textId="77777777" w:rsidR="00A46859" w:rsidRPr="00A46859" w:rsidRDefault="00A46859" w:rsidP="00A46859">
      <w:r w:rsidRPr="00A46859">
        <w:t>In situ hybridization</w:t>
      </w:r>
    </w:p>
    <w:p w14:paraId="1EB44FD3" w14:textId="77777777" w:rsidR="00A46859" w:rsidRPr="00A46859" w:rsidRDefault="00A46859" w:rsidP="00A46859">
      <w:r w:rsidRPr="00A46859">
        <w:t>Digoxigenin (DIG)-labeled RNA probes were used for </w:t>
      </w:r>
      <w:r w:rsidRPr="00A46859">
        <w:rPr>
          <w:i/>
          <w:iCs/>
        </w:rPr>
        <w:t>in situ</w:t>
      </w:r>
      <w:r w:rsidRPr="00A46859">
        <w:t xml:space="preserve"> hybridization. For TLR5 antisense probe, the mouse cDNA fragment was amplified by PCR with the antisense primer containing </w:t>
      </w:r>
      <w:r w:rsidRPr="00A46859">
        <w:lastRenderedPageBreak/>
        <w:t>the T7 promoter sequence. The sequences of the primers for antisense probe were as follows: TLR5-F, 5′-TAACGAGTTCGTCTGCAACTGT-3′; TLR5-R, 5′-</w:t>
      </w:r>
      <w:r w:rsidRPr="00A46859">
        <w:rPr>
          <w:i/>
          <w:iCs/>
        </w:rPr>
        <w:t>GCGTAATACGACTCACTATAGGG</w:t>
      </w:r>
      <w:r w:rsidRPr="00A46859">
        <w:t>ACCCTCTGATGGTCTCATGTCT-3′. Sense probe was included as control. For TLR5 sense probe, the same mouse cDNA fragment was amplified by PCR with the sense primer containing the T7 promoter sequence instead. </w:t>
      </w:r>
      <w:r w:rsidRPr="00A46859">
        <w:rPr>
          <w:i/>
          <w:iCs/>
        </w:rPr>
        <w:t>In vitro</w:t>
      </w:r>
      <w:r w:rsidRPr="00A46859">
        <w:t xml:space="preserve"> transcription was then performed from the PCR-amplified template using T7 RNA polymerase (Roche) with Digoxigenin-UTP (Roche) for the synthesis of the antisense and sense probes. 20 </w:t>
      </w:r>
      <w:proofErr w:type="spellStart"/>
      <w:r w:rsidRPr="00A46859">
        <w:t>μm</w:t>
      </w:r>
      <w:proofErr w:type="spellEnd"/>
      <w:r w:rsidRPr="00A46859">
        <w:t xml:space="preserve"> DRG sections were used for </w:t>
      </w:r>
      <w:r w:rsidRPr="00A46859">
        <w:rPr>
          <w:i/>
          <w:iCs/>
        </w:rPr>
        <w:t>in situ</w:t>
      </w:r>
      <w:r w:rsidRPr="00A46859">
        <w:t> hybridization as we previously described</w:t>
      </w:r>
      <w:hyperlink r:id="rId230" w:anchor="R42" w:history="1">
        <w:r w:rsidRPr="00A46859">
          <w:rPr>
            <w:rStyle w:val="a7"/>
            <w:vertAlign w:val="superscript"/>
          </w:rPr>
          <w:t>42</w:t>
        </w:r>
      </w:hyperlink>
      <w:r w:rsidRPr="00A46859">
        <w:t>. Pre-hybridization, hybridization and washing were performed according to standard methods</w:t>
      </w:r>
      <w:hyperlink r:id="rId231" w:anchor="R42" w:history="1">
        <w:r w:rsidRPr="00A46859">
          <w:rPr>
            <w:rStyle w:val="a7"/>
            <w:vertAlign w:val="superscript"/>
          </w:rPr>
          <w:t>42</w:t>
        </w:r>
      </w:hyperlink>
      <w:r w:rsidRPr="00A46859">
        <w:t xml:space="preserve">. Sections were then incubated with alkaline phosphatase conjugated anti-Digoxigenin (1:3500; Roche) and mouse anti-NF200 (1:1000, mouse, N0142, Sigma), or CGRP antibody (1:1000, guinea pig, T-5027, Peninsula), or TH antibody (1:1000, Rabbit, AB152, EMD Millipore) overnight at 4 °C. After washing, the </w:t>
      </w:r>
      <w:proofErr w:type="gramStart"/>
      <w:r w:rsidRPr="00A46859">
        <w:t>in situ</w:t>
      </w:r>
      <w:proofErr w:type="gramEnd"/>
      <w:r w:rsidRPr="00A46859">
        <w:t xml:space="preserve"> signals were developed with Fast Red substrate and immunostaining signals were detected with Alexa Fluor 488 anti</w:t>
      </w:r>
      <w:r w:rsidRPr="00A46859">
        <w:rPr>
          <w:b/>
          <w:bCs/>
        </w:rPr>
        <w:t>-</w:t>
      </w:r>
      <w:r w:rsidRPr="00A46859">
        <w:t xml:space="preserve">mouse IgG (Molecular Probes, 1:1000) or FITC-conjugated secondary antibodies (1:400; Jackson </w:t>
      </w:r>
      <w:proofErr w:type="spellStart"/>
      <w:r w:rsidRPr="00A46859">
        <w:t>ImmunoResearch</w:t>
      </w:r>
      <w:proofErr w:type="spellEnd"/>
      <w:r w:rsidRPr="00A46859">
        <w:t>) or Alexa Fluor 488 conjugated IB4 (Molecular Probes, </w:t>
      </w:r>
      <w:hyperlink r:id="rId232" w:tgtFrame="_blank" w:history="1">
        <w:r w:rsidRPr="00A46859">
          <w:rPr>
            <w:rStyle w:val="a7"/>
          </w:rPr>
          <w:t>I21411</w:t>
        </w:r>
      </w:hyperlink>
      <w:r w:rsidRPr="00A46859">
        <w:t xml:space="preserve">, 1:400). For quantification, 4–5 DRG sections from each mouse were selected and 3 mice were analyzed in each group. To determine the percentage of labeled neurons, the number of positive neurons was divided by the total number of neurons. Images were analyzed with NIH Image software or Adobe </w:t>
      </w:r>
      <w:proofErr w:type="spellStart"/>
      <w:r w:rsidRPr="00A46859">
        <w:t>PhotoShop</w:t>
      </w:r>
      <w:proofErr w:type="spellEnd"/>
      <w:r w:rsidRPr="00A46859">
        <w:t>.</w:t>
      </w:r>
    </w:p>
    <w:p w14:paraId="5DBD8498" w14:textId="010D7DA7" w:rsidR="00A46859" w:rsidRDefault="00A46859">
      <w:pPr>
        <w:widowControl/>
        <w:jc w:val="left"/>
      </w:pPr>
      <w:r>
        <w:rPr>
          <w:rFonts w:hint="eastAsia"/>
        </w:rPr>
        <w:br w:type="page"/>
      </w:r>
    </w:p>
    <w:p w14:paraId="7D9A1341" w14:textId="345E2CDD" w:rsidR="00A46859" w:rsidRDefault="00A75605" w:rsidP="00F533AA">
      <w:r>
        <w:rPr>
          <w:rFonts w:hint="eastAsia"/>
        </w:rPr>
        <w:lastRenderedPageBreak/>
        <w:t>30.</w:t>
      </w:r>
      <w:hyperlink r:id="rId233" w:history="1">
        <w:r w:rsidR="006038AB" w:rsidRPr="006038AB">
          <w:rPr>
            <w:rStyle w:val="a7"/>
          </w:rPr>
          <w:t>JCI - Intrathecal bone marrow stromal cells inhibit neuropathic pain via TGF-β secretion</w:t>
        </w:r>
      </w:hyperlink>
    </w:p>
    <w:p w14:paraId="0F35433B" w14:textId="77777777" w:rsidR="006038AB" w:rsidRDefault="006038AB" w:rsidP="00F533AA"/>
    <w:p w14:paraId="2713FCFF" w14:textId="77777777" w:rsidR="006038AB" w:rsidRPr="006038AB" w:rsidRDefault="006038AB" w:rsidP="006038AB">
      <w:pPr>
        <w:rPr>
          <w:b/>
          <w:bCs/>
        </w:rPr>
      </w:pPr>
      <w:r w:rsidRPr="006038AB">
        <w:rPr>
          <w:rFonts w:hint="eastAsia"/>
          <w:b/>
          <w:bCs/>
        </w:rPr>
        <w:t>Intrathecal bone marrow stromal cells inhibit neuropathic pain via TGF-β secretion</w:t>
      </w:r>
    </w:p>
    <w:p w14:paraId="65BEAE31" w14:textId="44DD773D" w:rsidR="006038AB" w:rsidRDefault="006038AB" w:rsidP="006038AB">
      <w:r>
        <w:rPr>
          <w:rFonts w:hint="eastAsia"/>
        </w:rPr>
        <w:t xml:space="preserve">Gang Chen,1,2 </w:t>
      </w:r>
      <w:proofErr w:type="spellStart"/>
      <w:r>
        <w:rPr>
          <w:rFonts w:hint="eastAsia"/>
        </w:rPr>
        <w:t>Chul</w:t>
      </w:r>
      <w:proofErr w:type="spellEnd"/>
      <w:r>
        <w:rPr>
          <w:rFonts w:hint="eastAsia"/>
        </w:rPr>
        <w:t>-Kyu Park,1,3 Rou-Gang Xie,1,4,5 and Ru-Rong Ji</w:t>
      </w:r>
    </w:p>
    <w:p w14:paraId="5F0A103F" w14:textId="52D4C7AF" w:rsidR="006038AB" w:rsidRDefault="006038AB" w:rsidP="006038AB">
      <w:r>
        <w:rPr>
          <w:rFonts w:hint="eastAsia"/>
          <w:noProof/>
        </w:rPr>
        <w:drawing>
          <wp:inline distT="0" distB="0" distL="0" distR="0" wp14:anchorId="1CE8298B" wp14:editId="7DC232A9">
            <wp:extent cx="5733782" cy="4398630"/>
            <wp:effectExtent l="0" t="0" r="635" b="2540"/>
            <wp:docPr id="5938468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42005" cy="4404938"/>
                    </a:xfrm>
                    <a:prstGeom prst="rect">
                      <a:avLst/>
                    </a:prstGeom>
                    <a:noFill/>
                  </pic:spPr>
                </pic:pic>
              </a:graphicData>
            </a:graphic>
          </wp:inline>
        </w:drawing>
      </w:r>
    </w:p>
    <w:p w14:paraId="67B692D7" w14:textId="70CC9BE7" w:rsidR="006038AB" w:rsidRDefault="006038AB" w:rsidP="006038AB">
      <w:r w:rsidRPr="006038AB">
        <w:t>(A and B) Prolonged inhibition of mechanical allodynia (A) and thermal hyperalgesia (B) for 5 weeks by early treatment with i.t. injection of BMSCs (1.0 or 2.5 × 10</w:t>
      </w:r>
      <w:r w:rsidRPr="006038AB">
        <w:rPr>
          <w:vertAlign w:val="superscript"/>
        </w:rPr>
        <w:t>5</w:t>
      </w:r>
      <w:r w:rsidRPr="006038AB">
        <w:t> cells), given 4 days after CCI. *P &lt; 0.05, compared with vehicle (PBS); n = 6 mice/group. (C and D) Reversal of mechanical allodynia (C) and thermal hyperalgesia (D) by late treatment with i.t. BMSCs (1.0 or 2.5 × 10</w:t>
      </w:r>
      <w:r w:rsidRPr="006038AB">
        <w:rPr>
          <w:vertAlign w:val="superscript"/>
        </w:rPr>
        <w:t>5</w:t>
      </w:r>
      <w:r w:rsidRPr="006038AB">
        <w:t> cells), given 14 days after CCI. Arrows in A–D indicate the time of BMSC injection. *P &lt; 0.05, compared with vehicle; </w:t>
      </w:r>
      <w:r w:rsidRPr="006038AB">
        <w:rPr>
          <w:vertAlign w:val="superscript"/>
        </w:rPr>
        <w:t>#</w:t>
      </w:r>
      <w:r w:rsidRPr="006038AB">
        <w:t>P &lt; 0.05; n = 6 mice/group. (E) Paradigm for measuring ongoing pain using a 2-chamber CPP test. (F) CCI-induced ongoing pain was abolished by treatment with BMSCs. *P &lt; 0.05, compared with saline; n = 5 mice/group. Statistical significance was determined by 2-way repeated-measures ANOVA, followed by Bonferroni’s post-hoc test (A–D) or Student’s t test (F). All data are expressed as the mean ± SEM. BL, baseline.</w:t>
      </w:r>
      <w:r>
        <w:rPr>
          <w:rFonts w:hint="eastAsia"/>
          <w:noProof/>
        </w:rPr>
        <w:lastRenderedPageBreak/>
        <w:drawing>
          <wp:inline distT="0" distB="0" distL="0" distR="0" wp14:anchorId="31D87BEF" wp14:editId="45CA00B9">
            <wp:extent cx="5035639" cy="4891763"/>
            <wp:effectExtent l="0" t="0" r="0" b="4445"/>
            <wp:docPr id="3362595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042563" cy="4898489"/>
                    </a:xfrm>
                    <a:prstGeom prst="rect">
                      <a:avLst/>
                    </a:prstGeom>
                    <a:noFill/>
                  </pic:spPr>
                </pic:pic>
              </a:graphicData>
            </a:graphic>
          </wp:inline>
        </w:drawing>
      </w:r>
    </w:p>
    <w:p w14:paraId="5177A843" w14:textId="1E241A5D" w:rsidR="006038AB" w:rsidRDefault="006038AB" w:rsidP="006038AB">
      <w:r w:rsidRPr="006038AB">
        <w:t>(A–C) Baseline pain sensitivity evaluated by the von Frey test for mechanical sensitivity (A), the Hargreaves test for heat sensitivity (B), and the Randall-</w:t>
      </w:r>
      <w:proofErr w:type="spellStart"/>
      <w:r w:rsidRPr="006038AB">
        <w:t>Selitto</w:t>
      </w:r>
      <w:proofErr w:type="spellEnd"/>
      <w:r w:rsidRPr="006038AB">
        <w:t xml:space="preserve"> test for mechanical sensitivity. (D) Rotarod test for the evaluation of motor function. n = 6 mice/group. Arrows in A–D indicate the time of BMSC injection.</w:t>
      </w:r>
    </w:p>
    <w:p w14:paraId="78261F7B" w14:textId="130A46A7" w:rsidR="006038AB" w:rsidRDefault="006038AB" w:rsidP="006038AB">
      <w:r>
        <w:rPr>
          <w:rFonts w:hint="eastAsia"/>
          <w:noProof/>
        </w:rPr>
        <w:lastRenderedPageBreak/>
        <w:drawing>
          <wp:inline distT="0" distB="0" distL="0" distR="0" wp14:anchorId="61E6CED5" wp14:editId="0E812398">
            <wp:extent cx="5374146" cy="4353059"/>
            <wp:effectExtent l="0" t="0" r="0" b="9525"/>
            <wp:docPr id="9743208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394203" cy="4369306"/>
                    </a:xfrm>
                    <a:prstGeom prst="rect">
                      <a:avLst/>
                    </a:prstGeom>
                    <a:noFill/>
                  </pic:spPr>
                </pic:pic>
              </a:graphicData>
            </a:graphic>
          </wp:inline>
        </w:drawing>
      </w:r>
    </w:p>
    <w:p w14:paraId="10B03EDE" w14:textId="3EABA2D6" w:rsidR="006038AB" w:rsidRDefault="006038AB" w:rsidP="006038AB">
      <w:r w:rsidRPr="006038AB">
        <w:t>(A) ELISA analysis showing TGF-β1 and IL-10 release in BMSC culture medium and the effects of TNF (10 ng/ml, 60 min) and LPS (100 ng/ml, 60 min) on the release. *P &lt; 0.05, compared with the respective control group; n = 8 separate cultures from different mice. (B) ELISA analysis showing increased TGF-β1 release in CSF 8 days after CCI and 4 days after i.t. delivery of 2.5 × 10</w:t>
      </w:r>
      <w:r w:rsidRPr="006038AB">
        <w:rPr>
          <w:vertAlign w:val="superscript"/>
        </w:rPr>
        <w:t>5</w:t>
      </w:r>
      <w:r w:rsidRPr="006038AB">
        <w:t> BMSCs. *P &lt; 0.05, compared with naive and vehicle-treated cells; </w:t>
      </w:r>
      <w:r w:rsidRPr="006038AB">
        <w:rPr>
          <w:vertAlign w:val="superscript"/>
        </w:rPr>
        <w:t>#</w:t>
      </w:r>
      <w:r w:rsidRPr="006038AB">
        <w:t xml:space="preserve">P &lt; 0.05; n = 4 mice/group. (C) Reversal of BMSC-induced inhibition of mechanical allodynia by TGF-β1–neutralizing Abs (4 </w:t>
      </w:r>
      <w:proofErr w:type="spellStart"/>
      <w:r w:rsidRPr="006038AB">
        <w:t>μg</w:t>
      </w:r>
      <w:proofErr w:type="spellEnd"/>
      <w:r w:rsidRPr="006038AB">
        <w:t xml:space="preserve">, i.t.), but not by IL-10–neutralizing Abs (4 </w:t>
      </w:r>
      <w:proofErr w:type="spellStart"/>
      <w:r w:rsidRPr="006038AB">
        <w:t>μg</w:t>
      </w:r>
      <w:proofErr w:type="spellEnd"/>
      <w:r w:rsidRPr="006038AB">
        <w:t xml:space="preserve">, i.t.) or control IgG (4 </w:t>
      </w:r>
      <w:proofErr w:type="spellStart"/>
      <w:r w:rsidRPr="006038AB">
        <w:t>μg</w:t>
      </w:r>
      <w:proofErr w:type="spellEnd"/>
      <w:r w:rsidRPr="006038AB">
        <w:t xml:space="preserve">, i.t.). *P &lt; 0.05, compared with the control IgG group; n = 5 mice/group. (D) Reduction of TGF-β1 release and expression in BMSCs following Tgfb1 siRNA treatment (1 </w:t>
      </w:r>
      <w:proofErr w:type="spellStart"/>
      <w:r w:rsidRPr="006038AB">
        <w:t>μg</w:t>
      </w:r>
      <w:proofErr w:type="spellEnd"/>
      <w:r w:rsidRPr="006038AB">
        <w:t>/ml for 18 h). Both baseline release and evoked release by TNF (10 ng/ml, 1 h) were measured. *P &lt; 0.05, compared with nontargeting siRNA; </w:t>
      </w:r>
      <w:r w:rsidRPr="006038AB">
        <w:rPr>
          <w:vertAlign w:val="superscript"/>
        </w:rPr>
        <w:t>#</w:t>
      </w:r>
      <w:r w:rsidRPr="006038AB">
        <w:t>P &lt; 0.05; n = 4 separate cultures from different mice. (E) Antiallodynic effect of BMSCs (2.5 × 10</w:t>
      </w:r>
      <w:r w:rsidRPr="006038AB">
        <w:rPr>
          <w:vertAlign w:val="superscript"/>
        </w:rPr>
        <w:t>5</w:t>
      </w:r>
      <w:r w:rsidRPr="006038AB">
        <w:t xml:space="preserve"> cells) was compromised by pretreatment of BMSCs with Tgfb1 siRNA (1 </w:t>
      </w:r>
      <w:proofErr w:type="spellStart"/>
      <w:r w:rsidRPr="006038AB">
        <w:t>μg</w:t>
      </w:r>
      <w:proofErr w:type="spellEnd"/>
      <w:r w:rsidRPr="006038AB">
        <w:t>/ml for 18 h), but not with nontargeting control siRNA. Arrow indicates the time of the BMSC injection. *P &lt; 0.05, compared with nontargeting siRNA control. n = 5 mice/group. (F and G) Dose-dependent reversal of mechanical allodynia by i.t. TGF-β1 at 5 and 21 days after CCI. Arrows in F and G indicate the time of the BMSC injection. *P &lt; 0.05, compared with the vehicle group; </w:t>
      </w:r>
      <w:r w:rsidRPr="006038AB">
        <w:rPr>
          <w:vertAlign w:val="superscript"/>
        </w:rPr>
        <w:t>#</w:t>
      </w:r>
      <w:r w:rsidRPr="006038AB">
        <w:t xml:space="preserve">P &lt; 0.05; n = 5 mice/group. (H) TGF-βR1 inhibitor SB431542 (100 </w:t>
      </w:r>
      <w:proofErr w:type="spellStart"/>
      <w:r w:rsidRPr="006038AB">
        <w:t>pmol</w:t>
      </w:r>
      <w:proofErr w:type="spellEnd"/>
      <w:r w:rsidRPr="006038AB">
        <w:t xml:space="preserve">, i.t.) completely blocked the antiallodynic effect of TGF-β1 (10 ng, i.t.). Arrow indicates the time of i.t. injection given 19 days after CCI. *P &lt; 0.05; n = 4–5 mice/group. Statistical significance was determined by 1-way ANOVA (A, B, and D), 2-way ANOVA, followed by Bonferroni’s post-hoc test (C, E, and F–H), or Student’s t test (E and H). All data </w:t>
      </w:r>
      <w:r w:rsidRPr="006038AB">
        <w:lastRenderedPageBreak/>
        <w:t>are expressed as the mean ± SEM. NT, nontargeting.</w:t>
      </w:r>
      <w:r>
        <w:rPr>
          <w:rFonts w:hint="eastAsia"/>
        </w:rPr>
        <w:t xml:space="preserve"> </w:t>
      </w:r>
    </w:p>
    <w:p w14:paraId="6C2ED3C4" w14:textId="2F770C32" w:rsidR="006038AB" w:rsidRDefault="006038AB" w:rsidP="006038AB">
      <w:r>
        <w:rPr>
          <w:rFonts w:hint="eastAsia"/>
          <w:noProof/>
        </w:rPr>
        <w:drawing>
          <wp:inline distT="0" distB="0" distL="0" distR="0" wp14:anchorId="0F109B9D" wp14:editId="6074D61B">
            <wp:extent cx="5585675" cy="5673450"/>
            <wp:effectExtent l="0" t="0" r="0" b="3810"/>
            <wp:docPr id="21033373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591923" cy="5679796"/>
                    </a:xfrm>
                    <a:prstGeom prst="rect">
                      <a:avLst/>
                    </a:prstGeom>
                    <a:noFill/>
                  </pic:spPr>
                </pic:pic>
              </a:graphicData>
            </a:graphic>
          </wp:inline>
        </w:drawing>
      </w:r>
    </w:p>
    <w:p w14:paraId="1DEC1BD8" w14:textId="6B363C70" w:rsidR="006038AB" w:rsidRDefault="006038AB" w:rsidP="006038AB">
      <w:r w:rsidRPr="006038AB">
        <w:t>(A and B) Long-term inhibition of mechanical allodynia by early treatment with BMSCs (2.5 × 10</w:t>
      </w:r>
      <w:r w:rsidRPr="006038AB">
        <w:rPr>
          <w:vertAlign w:val="superscript"/>
        </w:rPr>
        <w:t>5</w:t>
      </w:r>
      <w:r w:rsidRPr="006038AB">
        <w:t> cells) via i.t. injection, given 4 days after SNI. Mechanical allodynia was tested using the paw withdrawal threshold (A) and by the frequency of response (percentage of response) to a single 0.16 gf filament (10 times) (B). *P &lt; 0.05, compared with vehicle (PBS); n = 6 mice/group. (C and D) Sustained inhibition of mechanical allodynia by late treatment with i.t. BMSCs (2.5 × 10</w:t>
      </w:r>
      <w:r w:rsidRPr="006038AB">
        <w:rPr>
          <w:vertAlign w:val="superscript"/>
        </w:rPr>
        <w:t>5</w:t>
      </w:r>
      <w:r w:rsidRPr="006038AB">
        <w:t xml:space="preserve"> cells), given 21 days after SNI. *P &lt; 0.05, compared with vehicle; n = 6 mice/group. (E) Reversal of BMSC-induced inhibition of mechanical allodynia by i.t. TGF-β1–neutralizing Abs (4 </w:t>
      </w:r>
      <w:proofErr w:type="spellStart"/>
      <w:r w:rsidRPr="006038AB">
        <w:t>μg</w:t>
      </w:r>
      <w:proofErr w:type="spellEnd"/>
      <w:r w:rsidRPr="006038AB">
        <w:t>), given 3 weeks after SNI. Arrows in A–E indicate the time of injection. *P &lt; 0.05, compared with the IgG control group; n = 5 mice/group. All data are expressed as the mean ± SEM. Statistical significance was determined by 2-way ANOVA, followed by Bonferroni’s post-hoc test.</w:t>
      </w:r>
    </w:p>
    <w:p w14:paraId="553D79FD" w14:textId="77777777" w:rsidR="002E56E6" w:rsidRDefault="002E56E6" w:rsidP="006038AB"/>
    <w:p w14:paraId="1B705792" w14:textId="77777777" w:rsidR="002E56E6" w:rsidRDefault="002E56E6" w:rsidP="006038AB"/>
    <w:p w14:paraId="6B55BB7A" w14:textId="77777777" w:rsidR="002E56E6" w:rsidRPr="002E56E6" w:rsidRDefault="002E56E6" w:rsidP="002E56E6">
      <w:r w:rsidRPr="002E56E6">
        <w:rPr>
          <w:i/>
          <w:iCs/>
        </w:rPr>
        <w:t>Behavioral analysis.</w:t>
      </w:r>
      <w:r w:rsidRPr="002E56E6">
        <w:t xml:space="preserve"> Animals were habituated to the testing environment for at least 2 days </w:t>
      </w:r>
      <w:r w:rsidRPr="002E56E6">
        <w:lastRenderedPageBreak/>
        <w:t xml:space="preserve">before baseline testing. The room temperature and humidity remained stable for all experiments. All mouse behaviors were tested blindly. To test mechanical sensitivity, we confined the mice in boxes placed on an elevated metal mesh floor and stimulated their hind paws with a series of von Frey hairs with logarithmically increasing stiffness (0.02–2.56 gf; </w:t>
      </w:r>
      <w:proofErr w:type="spellStart"/>
      <w:r w:rsidRPr="002E56E6">
        <w:t>Stoelting</w:t>
      </w:r>
      <w:proofErr w:type="spellEnd"/>
      <w:r w:rsidRPr="002E56E6">
        <w:t>), presented perpendicularly to the central plantar surface. We determined the 50% paw withdrawal threshold by Dixon’s up-down method. Mechanical allodynia after SNI was also assessed according to the frequency of response (expressed as the percentage of response) to a low-threshold von Frey hair (0.16 gf, 10 times). Thermal sensitivity was tested using a Hargreaves radiant heat apparatus (IITC Life Science), with the basal paw withdrawal latency adjusted to 9 to 12 seconds and a cutoff of 20 seconds to prevent tissue damage. A Randall-</w:t>
      </w:r>
      <w:proofErr w:type="spellStart"/>
      <w:r w:rsidRPr="002E56E6">
        <w:t>Selitto</w:t>
      </w:r>
      <w:proofErr w:type="spellEnd"/>
      <w:r w:rsidRPr="002E56E6">
        <w:t xml:space="preserve"> </w:t>
      </w:r>
      <w:proofErr w:type="spellStart"/>
      <w:r w:rsidRPr="002E56E6">
        <w:t>analgesiometer</w:t>
      </w:r>
      <w:proofErr w:type="spellEnd"/>
      <w:r w:rsidRPr="002E56E6">
        <w:t xml:space="preserve"> (Ugo Basile) was used to examine mechanical sensitivity by applying ascending pressure to a mouse tail, with a cutoff threshold of 250 gf to avoid tissue damage. A rotarod system (IITC Life Science) was used to assess motor function. Mice were tested in 3 trials separated by 10-minute intervals. During the tests, the speed of rotation was accelerated from 2 to 20 rpm over a 3-minute period. The fall latency was recorded and averaged.</w:t>
      </w:r>
    </w:p>
    <w:p w14:paraId="530620F8" w14:textId="77777777" w:rsidR="002E56E6" w:rsidRPr="002E56E6" w:rsidRDefault="002E56E6" w:rsidP="002E56E6">
      <w:r w:rsidRPr="002E56E6">
        <w:t>To test spontaneous/ongoing pain measurement, we used a single-trial conditioning protocol for CPP (</w:t>
      </w:r>
      <w:hyperlink r:id="rId238" w:anchor="B17" w:history="1">
        <w:r w:rsidRPr="002E56E6">
          <w:rPr>
            <w:rStyle w:val="a7"/>
          </w:rPr>
          <w:t>17</w:t>
        </w:r>
      </w:hyperlink>
      <w:r w:rsidRPr="002E56E6">
        <w:t>, </w:t>
      </w:r>
      <w:hyperlink r:id="rId239" w:anchor="B38" w:history="1">
        <w:r w:rsidRPr="002E56E6">
          <w:rPr>
            <w:rStyle w:val="a7"/>
          </w:rPr>
          <w:t>38</w:t>
        </w:r>
      </w:hyperlink>
      <w:r w:rsidRPr="002E56E6">
        <w:t xml:space="preserve">). All mice underwent a 3-day preconditioning habituation, and animal behavior was video recorded. Analyses of the preconditioning (baseline) behavior showed no preexisting chamber preference. On the conditioning day, mice received the vehicle (saline) control paired with a randomly chosen chamber in the morning, then the appropriate treatment (clonidine, 10 </w:t>
      </w:r>
      <w:proofErr w:type="spellStart"/>
      <w:r w:rsidRPr="002E56E6">
        <w:t>μg</w:t>
      </w:r>
      <w:proofErr w:type="spellEnd"/>
      <w:r w:rsidRPr="002E56E6">
        <w:t>, i.t.) paired with the other chamber 4 hours later. Chamber pairings were counterbalanced. On the test day, 20 hours after the afternoon pairing, mice were placed in the CPP box with access to both chambers, and their behavior was recorded for 15 minutes and analyzed for chamber preference by ANY-maze software (</w:t>
      </w:r>
      <w:proofErr w:type="spellStart"/>
      <w:r w:rsidRPr="002E56E6">
        <w:t>Stoelting</w:t>
      </w:r>
      <w:proofErr w:type="spellEnd"/>
      <w:r w:rsidRPr="002E56E6">
        <w:t>).</w:t>
      </w:r>
    </w:p>
    <w:p w14:paraId="01701A94" w14:textId="7715BE08" w:rsidR="002E56E6" w:rsidRDefault="002E56E6">
      <w:pPr>
        <w:widowControl/>
        <w:jc w:val="left"/>
      </w:pPr>
      <w:r>
        <w:rPr>
          <w:rFonts w:hint="eastAsia"/>
        </w:rPr>
        <w:br w:type="page"/>
      </w:r>
    </w:p>
    <w:p w14:paraId="18281E49" w14:textId="74144884" w:rsidR="002E56E6" w:rsidRDefault="00A75605" w:rsidP="006038AB">
      <w:r>
        <w:rPr>
          <w:rFonts w:hint="eastAsia"/>
        </w:rPr>
        <w:lastRenderedPageBreak/>
        <w:t>31.</w:t>
      </w:r>
      <w:hyperlink r:id="rId240" w:history="1">
        <w:r w:rsidR="00125E0C" w:rsidRPr="00125E0C">
          <w:rPr>
            <w:rStyle w:val="a7"/>
          </w:rPr>
          <w:t>Inhibition of Spinal Ca2+-Permeable AMPA Receptors with Dicationic Compounds Alleviates Persistent Inflammatory Pain without Adverse Effects - PMC</w:t>
        </w:r>
      </w:hyperlink>
    </w:p>
    <w:p w14:paraId="1F57D765" w14:textId="77777777" w:rsidR="00125E0C" w:rsidRDefault="00125E0C" w:rsidP="006038AB"/>
    <w:p w14:paraId="4B1042A9" w14:textId="77777777" w:rsidR="00125E0C" w:rsidRPr="00125E0C" w:rsidRDefault="00125E0C" w:rsidP="00125E0C">
      <w:pPr>
        <w:rPr>
          <w:b/>
          <w:bCs/>
        </w:rPr>
      </w:pPr>
      <w:r w:rsidRPr="00125E0C">
        <w:rPr>
          <w:rFonts w:hint="eastAsia"/>
          <w:b/>
          <w:bCs/>
        </w:rPr>
        <w:t xml:space="preserve">Inhibition of Spinal Ca2+-Permeable AMPA Receptors with </w:t>
      </w:r>
      <w:proofErr w:type="spellStart"/>
      <w:r w:rsidRPr="00125E0C">
        <w:rPr>
          <w:rFonts w:hint="eastAsia"/>
          <w:b/>
          <w:bCs/>
        </w:rPr>
        <w:t>Dicationic</w:t>
      </w:r>
      <w:proofErr w:type="spellEnd"/>
      <w:r w:rsidRPr="00125E0C">
        <w:rPr>
          <w:rFonts w:hint="eastAsia"/>
          <w:b/>
          <w:bCs/>
        </w:rPr>
        <w:t xml:space="preserve"> Compounds Alleviates Persistent Inflammatory Pain without Adverse Effects</w:t>
      </w:r>
    </w:p>
    <w:p w14:paraId="76DA36F1" w14:textId="700A50E2" w:rsidR="00125E0C" w:rsidRDefault="00125E0C" w:rsidP="00125E0C">
      <w:r>
        <w:rPr>
          <w:rFonts w:hint="eastAsia"/>
        </w:rPr>
        <w:t xml:space="preserve">Olga </w:t>
      </w:r>
      <w:proofErr w:type="spellStart"/>
      <w:proofErr w:type="gramStart"/>
      <w:r>
        <w:rPr>
          <w:rFonts w:hint="eastAsia"/>
        </w:rPr>
        <w:t>Kopach</w:t>
      </w:r>
      <w:proofErr w:type="spellEnd"/>
      <w:r>
        <w:rPr>
          <w:rFonts w:hint="eastAsia"/>
        </w:rPr>
        <w:t xml:space="preserve"> ,</w:t>
      </w:r>
      <w:proofErr w:type="gramEnd"/>
      <w:r>
        <w:rPr>
          <w:rFonts w:hint="eastAsia"/>
        </w:rPr>
        <w:t xml:space="preserve"> Volodymyr </w:t>
      </w:r>
      <w:proofErr w:type="spellStart"/>
      <w:r>
        <w:rPr>
          <w:rFonts w:hint="eastAsia"/>
        </w:rPr>
        <w:t>Krotov</w:t>
      </w:r>
      <w:proofErr w:type="spellEnd"/>
      <w:r>
        <w:rPr>
          <w:rFonts w:hint="eastAsia"/>
        </w:rPr>
        <w:t xml:space="preserve"> , Julia </w:t>
      </w:r>
      <w:proofErr w:type="spellStart"/>
      <w:r>
        <w:rPr>
          <w:rFonts w:hint="eastAsia"/>
        </w:rPr>
        <w:t>Goncharenko</w:t>
      </w:r>
      <w:proofErr w:type="spellEnd"/>
      <w:r>
        <w:rPr>
          <w:rFonts w:hint="eastAsia"/>
        </w:rPr>
        <w:t xml:space="preserve"> , Nana </w:t>
      </w:r>
      <w:proofErr w:type="spellStart"/>
      <w:r>
        <w:rPr>
          <w:rFonts w:hint="eastAsia"/>
        </w:rPr>
        <w:t>Voitenko</w:t>
      </w:r>
      <w:proofErr w:type="spellEnd"/>
    </w:p>
    <w:p w14:paraId="7D49D14F" w14:textId="3458393C" w:rsidR="00125E0C" w:rsidRDefault="00125E0C" w:rsidP="00125E0C">
      <w:r>
        <w:rPr>
          <w:rFonts w:hint="eastAsia"/>
          <w:noProof/>
        </w:rPr>
        <w:drawing>
          <wp:inline distT="0" distB="0" distL="0" distR="0" wp14:anchorId="21A7DE35" wp14:editId="3FA5A034">
            <wp:extent cx="5814812" cy="3179975"/>
            <wp:effectExtent l="0" t="0" r="0" b="1905"/>
            <wp:docPr id="13498742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824476" cy="3185260"/>
                    </a:xfrm>
                    <a:prstGeom prst="rect">
                      <a:avLst/>
                    </a:prstGeom>
                    <a:noFill/>
                  </pic:spPr>
                </pic:pic>
              </a:graphicData>
            </a:graphic>
          </wp:inline>
        </w:drawing>
      </w:r>
    </w:p>
    <w:p w14:paraId="22C364C1" w14:textId="75C377EB" w:rsidR="00125E0C" w:rsidRDefault="00125E0C" w:rsidP="00125E0C">
      <w:r w:rsidRPr="00125E0C">
        <w:rPr>
          <w:rFonts w:hint="eastAsia"/>
        </w:rPr>
        <w:t>Analgesic effect of IEM-1460 on the inflammatory-induced mechanical hypersensitivity. (A) von Frey behavioral test demonstrates tactile allodynia in the CFA-inflamed rats in response to von Frey monofilaments of different stimulus intensity. (B) Treatment with IEM-1460 recovered the paw withdrawal frequency in response to the 2 g (left graph) and 4 g (right graph) von Frey monofilaments. Results are presented as mean ± SEM. **p &lt; 0.01, ***p &lt; 0.001 for 30 μM of IEM-1460 vs. the correspondent time-point in the CFA-inflamed group. #p &lt; 0.05, ##p &lt; 0.01 for 300 μM of IEM-1460 vs. the correspondent time-point in the CFA-inflamed group. One-way ANOVA and Bonferroni post hoc test. (C) Post-treatment with IEM-1460 recovered tactile allodynia in the CFA-inflamed rats after 3 days of treatment.</w:t>
      </w:r>
    </w:p>
    <w:p w14:paraId="315DEC26" w14:textId="77777777" w:rsidR="00125E0C" w:rsidRDefault="00125E0C" w:rsidP="00125E0C"/>
    <w:p w14:paraId="5E228643" w14:textId="77777777" w:rsidR="00125E0C" w:rsidRDefault="00125E0C" w:rsidP="00125E0C"/>
    <w:p w14:paraId="57BC14A8" w14:textId="77777777" w:rsidR="006E0DF0" w:rsidRDefault="006E0DF0" w:rsidP="006E0DF0">
      <w:r>
        <w:rPr>
          <w:rFonts w:hint="eastAsia"/>
        </w:rPr>
        <w:t>Behavioral Testing</w:t>
      </w:r>
    </w:p>
    <w:p w14:paraId="65714493" w14:textId="77777777" w:rsidR="006E0DF0" w:rsidRDefault="006E0DF0" w:rsidP="006E0DF0">
      <w:r>
        <w:rPr>
          <w:rFonts w:hint="eastAsia"/>
        </w:rPr>
        <w:t>Behavioral tests were performed in a quiet room, by the experimenter evaluating the animal</w:t>
      </w:r>
      <w:proofErr w:type="gramStart"/>
      <w:r>
        <w:rPr>
          <w:rFonts w:hint="eastAsia"/>
        </w:rPr>
        <w:t>’</w:t>
      </w:r>
      <w:proofErr w:type="gramEnd"/>
      <w:r>
        <w:rPr>
          <w:rFonts w:hint="eastAsia"/>
        </w:rPr>
        <w:t>s behavior in a blind manner (the experimenter did not know if the animals were treated with saline or drug).</w:t>
      </w:r>
    </w:p>
    <w:p w14:paraId="4560A98C" w14:textId="77777777" w:rsidR="006E0DF0" w:rsidRDefault="006E0DF0" w:rsidP="006E0DF0"/>
    <w:p w14:paraId="28553A26" w14:textId="77777777" w:rsidR="006E0DF0" w:rsidRDefault="006E0DF0" w:rsidP="006E0DF0">
      <w:r>
        <w:rPr>
          <w:rFonts w:hint="eastAsia"/>
        </w:rPr>
        <w:t>Hargreaves Plantar Test</w:t>
      </w:r>
    </w:p>
    <w:p w14:paraId="68A498EC" w14:textId="77777777" w:rsidR="006E0DF0" w:rsidRDefault="006E0DF0" w:rsidP="006E0DF0">
      <w:r>
        <w:rPr>
          <w:rFonts w:hint="eastAsia"/>
        </w:rPr>
        <w:t xml:space="preserve">The paw withdrawal responses to thermal stimuli were measured using the Hargreaves technique as described in details previously (Park et al., 2009; </w:t>
      </w:r>
      <w:proofErr w:type="spellStart"/>
      <w:r>
        <w:rPr>
          <w:rFonts w:hint="eastAsia"/>
        </w:rPr>
        <w:t>Kopach</w:t>
      </w:r>
      <w:proofErr w:type="spellEnd"/>
      <w:r>
        <w:rPr>
          <w:rFonts w:hint="eastAsia"/>
        </w:rPr>
        <w:t xml:space="preserve"> et al., 2013). Briefly, after an animal was habituated to a Plexiglas chamber located above a light box, a radiant heat was applied to the middle of the plantar surface of one hind paw. The intensity of thermal </w:t>
      </w:r>
      <w:r>
        <w:rPr>
          <w:rFonts w:hint="eastAsia"/>
        </w:rPr>
        <w:lastRenderedPageBreak/>
        <w:t xml:space="preserve">stimulus applied to the plantar skin was adjusted to temperature of ~46°C (30 s cut off). The light beam was automatically turned off when the animal lifted its paw. The time between starting the stimulus and lifting the paw was defined as the paw withdrawal latency. The trial was repeated 3–5 times for each paw with intervals between measurements for at least 3–4 min. For representation of the time-dependent changes produced by </w:t>
      </w:r>
      <w:proofErr w:type="spellStart"/>
      <w:r>
        <w:rPr>
          <w:rFonts w:hint="eastAsia"/>
        </w:rPr>
        <w:t>dicationic</w:t>
      </w:r>
      <w:proofErr w:type="spellEnd"/>
      <w:r>
        <w:rPr>
          <w:rFonts w:hint="eastAsia"/>
        </w:rPr>
        <w:t xml:space="preserve"> compounds in various concentrations (Figure 1D), the paw withdrawal responses in different experimental groups were normalized to the correspondent value measured prior to starting the treatment (2 h post-CFA) as indicated.</w:t>
      </w:r>
    </w:p>
    <w:p w14:paraId="0D8B7CC4" w14:textId="77777777" w:rsidR="006E0DF0" w:rsidRDefault="006E0DF0" w:rsidP="006E0DF0"/>
    <w:p w14:paraId="3B3E1550" w14:textId="77777777" w:rsidR="006E0DF0" w:rsidRDefault="006E0DF0" w:rsidP="006E0DF0">
      <w:r>
        <w:rPr>
          <w:rFonts w:hint="eastAsia"/>
        </w:rPr>
        <w:t>Method of von Frey</w:t>
      </w:r>
      <w:proofErr w:type="gramStart"/>
      <w:r>
        <w:rPr>
          <w:rFonts w:hint="eastAsia"/>
        </w:rPr>
        <w:t>’</w:t>
      </w:r>
      <w:proofErr w:type="gramEnd"/>
      <w:r>
        <w:rPr>
          <w:rFonts w:hint="eastAsia"/>
        </w:rPr>
        <w:t>s Monofilaments</w:t>
      </w:r>
    </w:p>
    <w:p w14:paraId="57C47B0C" w14:textId="77777777" w:rsidR="006E0DF0" w:rsidRDefault="006E0DF0" w:rsidP="006E0DF0">
      <w:r>
        <w:rPr>
          <w:rFonts w:hint="eastAsia"/>
        </w:rPr>
        <w:t xml:space="preserve">The paw withdrawal responses to the repeated mechanical stimuli were measured using the method of von Frey monofilaments as described previously (Park et al., 2009; </w:t>
      </w:r>
      <w:proofErr w:type="spellStart"/>
      <w:r>
        <w:rPr>
          <w:rFonts w:hint="eastAsia"/>
        </w:rPr>
        <w:t>Kopach</w:t>
      </w:r>
      <w:proofErr w:type="spellEnd"/>
      <w:r>
        <w:rPr>
          <w:rFonts w:hint="eastAsia"/>
        </w:rPr>
        <w:t xml:space="preserve"> et al., 2013). Briefly, after an animal was habituated to a Plexiglas chamber on an elevated mesh screen (at least 10–15 min prior to testing), the von Frey monofilaments of different intensity of stimulus (</w:t>
      </w:r>
      <w:proofErr w:type="spellStart"/>
      <w:r>
        <w:rPr>
          <w:rFonts w:hint="eastAsia"/>
        </w:rPr>
        <w:t>Bioseb</w:t>
      </w:r>
      <w:proofErr w:type="spellEnd"/>
      <w:r>
        <w:rPr>
          <w:rFonts w:hint="eastAsia"/>
        </w:rPr>
        <w:t>) were applied to each hind paw. The monofilaments were chosen according to our previous studies of the development and maintenance of the mechanical hypersensitivity and allodynia in the CFA-induced model of peripheral inflammation in rats (</w:t>
      </w:r>
      <w:proofErr w:type="spellStart"/>
      <w:r>
        <w:rPr>
          <w:rFonts w:hint="eastAsia"/>
        </w:rPr>
        <w:t>Kopach</w:t>
      </w:r>
      <w:proofErr w:type="spellEnd"/>
      <w:r>
        <w:rPr>
          <w:rFonts w:hint="eastAsia"/>
        </w:rPr>
        <w:t xml:space="preserve"> et al., 2012, 2013). The trial was repeated 10 times for each hind paw with an interval between filament applications for at least 1 min. The percentage of responses was calculated for each trial and was defined as the paw withdrawal frequency.</w:t>
      </w:r>
    </w:p>
    <w:p w14:paraId="27B16529" w14:textId="77777777" w:rsidR="006E0DF0" w:rsidRDefault="006E0DF0" w:rsidP="006E0DF0"/>
    <w:p w14:paraId="5B829BA7" w14:textId="77777777" w:rsidR="006E0DF0" w:rsidRDefault="006E0DF0" w:rsidP="006E0DF0">
      <w:r>
        <w:rPr>
          <w:rFonts w:hint="eastAsia"/>
        </w:rPr>
        <w:t>Open-Field Test</w:t>
      </w:r>
    </w:p>
    <w:p w14:paraId="1582E1C9" w14:textId="6FD8F44B" w:rsidR="006E0DF0" w:rsidRDefault="006E0DF0" w:rsidP="006E0DF0">
      <w:r>
        <w:rPr>
          <w:rFonts w:hint="eastAsia"/>
        </w:rPr>
        <w:t>For assessment of changes in locomotion and general activity of animals in the persistent pain conditions or during an experimental treatment, the open-field test was performed. The open-field test (open-field arena) represents a robust assay for an integrative analysis of animal activity (such as exploratory behavior, sedation, stress/anxiety etc.) as described in detail elsewhere (</w:t>
      </w:r>
      <w:proofErr w:type="spellStart"/>
      <w:r>
        <w:rPr>
          <w:rFonts w:hint="eastAsia"/>
        </w:rPr>
        <w:t>Bellavance</w:t>
      </w:r>
      <w:proofErr w:type="spellEnd"/>
      <w:r>
        <w:rPr>
          <w:rFonts w:hint="eastAsia"/>
        </w:rPr>
        <w:t xml:space="preserve"> and </w:t>
      </w:r>
      <w:proofErr w:type="spellStart"/>
      <w:r>
        <w:rPr>
          <w:rFonts w:hint="eastAsia"/>
        </w:rPr>
        <w:t>Beitz</w:t>
      </w:r>
      <w:proofErr w:type="spellEnd"/>
      <w:r>
        <w:rPr>
          <w:rFonts w:hint="eastAsia"/>
        </w:rPr>
        <w:t>, 1996; Bailey and Crawley, 2009). We assessed the animal locomotion and the anxiety-like behavior (which is commonly used to represent side effects) by testing animals in an open-field arena during the defined period of time. For this, a rat was placed in the open-field arena representing a 75 cm × 75 cm × 40 cm wooden box with a digital camera (Logitech C270) attached above a center of the arena to record relocations of animal through the box. Tested animal was allowed to move freely within box during 5 min, often used session duration to sufficiently capture the critical components of animal</w:t>
      </w:r>
      <w:proofErr w:type="gramStart"/>
      <w:r>
        <w:rPr>
          <w:rFonts w:hint="eastAsia"/>
        </w:rPr>
        <w:t>’</w:t>
      </w:r>
      <w:proofErr w:type="gramEnd"/>
      <w:r>
        <w:rPr>
          <w:rFonts w:hint="eastAsia"/>
        </w:rPr>
        <w:t xml:space="preserve"> behavior. The total distance traveled by an animal horizontally was analyzed offline and defined as the index of locomotion. The anxiety-like behavior (</w:t>
      </w:r>
      <w:proofErr w:type="spellStart"/>
      <w:r>
        <w:rPr>
          <w:rFonts w:hint="eastAsia"/>
        </w:rPr>
        <w:t>Buccafusco</w:t>
      </w:r>
      <w:proofErr w:type="spellEnd"/>
      <w:r>
        <w:rPr>
          <w:rFonts w:hint="eastAsia"/>
        </w:rPr>
        <w:t>, 2009) was assessed by the animal movement with regard to the time spent in the box corners, traveling close to the walls (indicating increased anxiety) and crossing the central area (representing the innate behavior of animals to explore novel environments). Testing was typically performed at the same period of time to minimize influencing of animal behavior with a daily activity of laboratory animals.</w:t>
      </w:r>
    </w:p>
    <w:p w14:paraId="7120C220" w14:textId="77777777" w:rsidR="006E0DF0" w:rsidRDefault="006E0DF0">
      <w:pPr>
        <w:widowControl/>
        <w:jc w:val="left"/>
      </w:pPr>
      <w:r>
        <w:rPr>
          <w:rFonts w:hint="eastAsia"/>
        </w:rPr>
        <w:br w:type="page"/>
      </w:r>
    </w:p>
    <w:p w14:paraId="6D1593EE" w14:textId="3DC8C7AD" w:rsidR="006E0DF0" w:rsidRDefault="004A5E23" w:rsidP="006E0DF0">
      <w:hyperlink r:id="rId242" w:history="1">
        <w:r w:rsidR="00A75605">
          <w:rPr>
            <w:rFonts w:hint="eastAsia"/>
          </w:rPr>
          <w:t>32.</w:t>
        </w:r>
        <w:r w:rsidR="006E0DF0" w:rsidRPr="006E0DF0">
          <w:rPr>
            <w:rStyle w:val="a7"/>
          </w:rPr>
          <w:t>Fisetin exerts antihyperalgesic effect in a mouse model of neuropathic pain: engagement of spinal serotonergic system - PMC</w:t>
        </w:r>
      </w:hyperlink>
    </w:p>
    <w:p w14:paraId="3B75D104" w14:textId="77777777" w:rsidR="006E0DF0" w:rsidRDefault="006E0DF0" w:rsidP="006E0DF0"/>
    <w:p w14:paraId="4C5C110A" w14:textId="77777777" w:rsidR="006E0DF0" w:rsidRPr="006E0DF0" w:rsidRDefault="006E0DF0" w:rsidP="006E0DF0">
      <w:pPr>
        <w:rPr>
          <w:b/>
          <w:bCs/>
        </w:rPr>
      </w:pPr>
      <w:proofErr w:type="spellStart"/>
      <w:r w:rsidRPr="006E0DF0">
        <w:rPr>
          <w:rFonts w:hint="eastAsia"/>
          <w:b/>
          <w:bCs/>
        </w:rPr>
        <w:t>Fisetin</w:t>
      </w:r>
      <w:proofErr w:type="spellEnd"/>
      <w:r w:rsidRPr="006E0DF0">
        <w:rPr>
          <w:rFonts w:hint="eastAsia"/>
          <w:b/>
          <w:bCs/>
        </w:rPr>
        <w:t xml:space="preserve"> exerts </w:t>
      </w:r>
      <w:proofErr w:type="spellStart"/>
      <w:r w:rsidRPr="006E0DF0">
        <w:rPr>
          <w:rFonts w:hint="eastAsia"/>
          <w:b/>
          <w:bCs/>
        </w:rPr>
        <w:t>antihyperalgesic</w:t>
      </w:r>
      <w:proofErr w:type="spellEnd"/>
      <w:r w:rsidRPr="006E0DF0">
        <w:rPr>
          <w:rFonts w:hint="eastAsia"/>
          <w:b/>
          <w:bCs/>
        </w:rPr>
        <w:t xml:space="preserve"> effect in a mouse model of neuropathic pain: engagement of spinal serotonergic system</w:t>
      </w:r>
    </w:p>
    <w:p w14:paraId="05B8C77E" w14:textId="03067DDC" w:rsidR="006E0DF0" w:rsidRDefault="006E0DF0" w:rsidP="006E0DF0">
      <w:r>
        <w:rPr>
          <w:rFonts w:hint="eastAsia"/>
        </w:rPr>
        <w:t xml:space="preserve">Xin Zhao </w:t>
      </w:r>
      <w:proofErr w:type="gramStart"/>
      <w:r>
        <w:rPr>
          <w:rFonts w:hint="eastAsia"/>
        </w:rPr>
        <w:t>1,a</w:t>
      </w:r>
      <w:proofErr w:type="gramEnd"/>
      <w:r>
        <w:rPr>
          <w:rFonts w:hint="eastAsia"/>
        </w:rPr>
        <w:t>, Chuang Wang 1, Wu-</w:t>
      </w:r>
      <w:proofErr w:type="spellStart"/>
      <w:r>
        <w:rPr>
          <w:rFonts w:hint="eastAsia"/>
        </w:rPr>
        <w:t>Geng</w:t>
      </w:r>
      <w:proofErr w:type="spellEnd"/>
      <w:r>
        <w:rPr>
          <w:rFonts w:hint="eastAsia"/>
        </w:rPr>
        <w:t xml:space="preserve"> Cui 2, Qing Ma 1, Wen-Hua Zhou</w:t>
      </w:r>
    </w:p>
    <w:p w14:paraId="5908C6DB" w14:textId="77777777" w:rsidR="006E0DF0" w:rsidRDefault="006E0DF0" w:rsidP="006E0DF0"/>
    <w:p w14:paraId="528251C9" w14:textId="77777777" w:rsidR="0031015A" w:rsidRDefault="0031015A" w:rsidP="006E0DF0"/>
    <w:p w14:paraId="5DF2F20E" w14:textId="1E66FD79" w:rsidR="006E0DF0" w:rsidRDefault="006E0DF0" w:rsidP="006E0DF0">
      <w:r>
        <w:rPr>
          <w:rFonts w:hint="eastAsia"/>
          <w:noProof/>
        </w:rPr>
        <w:drawing>
          <wp:inline distT="0" distB="0" distL="0" distR="0" wp14:anchorId="314E2788" wp14:editId="40B96D7E">
            <wp:extent cx="5644971" cy="5270169"/>
            <wp:effectExtent l="0" t="0" r="0" b="6985"/>
            <wp:docPr id="14741080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649321" cy="5274231"/>
                    </a:xfrm>
                    <a:prstGeom prst="rect">
                      <a:avLst/>
                    </a:prstGeom>
                    <a:noFill/>
                  </pic:spPr>
                </pic:pic>
              </a:graphicData>
            </a:graphic>
          </wp:inline>
        </w:drawing>
      </w:r>
    </w:p>
    <w:p w14:paraId="364053EA" w14:textId="161927D8" w:rsidR="006E0DF0" w:rsidRDefault="006E0DF0" w:rsidP="006E0DF0">
      <w:r w:rsidRPr="006E0DF0">
        <w:t xml:space="preserve">The </w:t>
      </w:r>
      <w:proofErr w:type="spellStart"/>
      <w:r w:rsidRPr="006E0DF0">
        <w:t>fisetin</w:t>
      </w:r>
      <w:proofErr w:type="spellEnd"/>
      <w:r w:rsidRPr="006E0DF0">
        <w:t xml:space="preserve"> treatment started 15 days following CCI or sham surgery. (A) Chronic </w:t>
      </w:r>
      <w:proofErr w:type="spellStart"/>
      <w:r w:rsidRPr="006E0DF0">
        <w:t>fisetin</w:t>
      </w:r>
      <w:proofErr w:type="spellEnd"/>
      <w:r w:rsidRPr="006E0DF0">
        <w:t xml:space="preserve"> treatment (45</w:t>
      </w:r>
      <w:r w:rsidRPr="006E0DF0">
        <w:rPr>
          <w:rFonts w:ascii="MS Gothic" w:eastAsia="MS Gothic" w:hAnsi="MS Gothic" w:cs="MS Gothic" w:hint="eastAsia"/>
        </w:rPr>
        <w:t> </w:t>
      </w:r>
      <w:r w:rsidRPr="006E0DF0">
        <w:t xml:space="preserve">mg/kg, p.o., twice per day for 21 days) corrected thermal hyperalgesia in neuropathic mice (left panel for time-course) and this </w:t>
      </w:r>
      <w:proofErr w:type="spellStart"/>
      <w:r w:rsidRPr="006E0DF0">
        <w:t>antihyperalgesia</w:t>
      </w:r>
      <w:proofErr w:type="spellEnd"/>
      <w:r w:rsidRPr="006E0DF0">
        <w:t xml:space="preserve"> was dose-dependent (5, 15 and 45</w:t>
      </w:r>
      <w:r w:rsidRPr="006E0DF0">
        <w:rPr>
          <w:rFonts w:ascii="MS Gothic" w:eastAsia="MS Gothic" w:hAnsi="MS Gothic" w:cs="MS Gothic" w:hint="eastAsia"/>
        </w:rPr>
        <w:t> </w:t>
      </w:r>
      <w:r w:rsidRPr="006E0DF0">
        <w:t xml:space="preserve">mg/kg, right panel corresponding to values determined on day 36), without affecting the measures in sham-operated mice. (B) Chronic </w:t>
      </w:r>
      <w:proofErr w:type="spellStart"/>
      <w:r w:rsidRPr="006E0DF0">
        <w:t>fisetin</w:t>
      </w:r>
      <w:proofErr w:type="spellEnd"/>
      <w:r w:rsidRPr="006E0DF0">
        <w:t xml:space="preserve"> treatment (5, 15 and 45</w:t>
      </w:r>
      <w:r w:rsidRPr="006E0DF0">
        <w:rPr>
          <w:rFonts w:ascii="MS Gothic" w:eastAsia="MS Gothic" w:hAnsi="MS Gothic" w:cs="MS Gothic" w:hint="eastAsia"/>
        </w:rPr>
        <w:t> </w:t>
      </w:r>
      <w:r w:rsidRPr="006E0DF0">
        <w:t>mg/kg, p.o.) did not affect the mechanical sensitivity in von Frey</w:t>
      </w:r>
      <w:r w:rsidRPr="006E0DF0">
        <w:rPr>
          <w:rFonts w:hint="eastAsia"/>
        </w:rPr>
        <w:t xml:space="preserve"> test regardless of sham-operated or CCI-injured mice. (A) and (B) Left panel: open circles represent sham + vehicle group; solid circles represent sham + </w:t>
      </w:r>
      <w:proofErr w:type="spellStart"/>
      <w:r w:rsidRPr="006E0DF0">
        <w:rPr>
          <w:rFonts w:hint="eastAsia"/>
        </w:rPr>
        <w:t>Fis</w:t>
      </w:r>
      <w:proofErr w:type="spellEnd"/>
      <w:r w:rsidRPr="006E0DF0">
        <w:rPr>
          <w:rFonts w:hint="eastAsia"/>
        </w:rPr>
        <w:t xml:space="preserve"> group; open triangles represent CCI + vehicle group; solid triangles represent CCI + </w:t>
      </w:r>
      <w:proofErr w:type="spellStart"/>
      <w:r w:rsidRPr="006E0DF0">
        <w:rPr>
          <w:rFonts w:hint="eastAsia"/>
        </w:rPr>
        <w:t>Fis</w:t>
      </w:r>
      <w:proofErr w:type="spellEnd"/>
      <w:r w:rsidRPr="006E0DF0">
        <w:rPr>
          <w:rFonts w:hint="eastAsia"/>
        </w:rPr>
        <w:t xml:space="preserve"> group. Data are expressed as mean ± SEM (n = 9–12 per </w:t>
      </w:r>
      <w:r w:rsidRPr="006E0DF0">
        <w:rPr>
          <w:rFonts w:hint="eastAsia"/>
        </w:rPr>
        <w:lastRenderedPageBreak/>
        <w:t>group), evaluated by multifactor ANOVA followed by Duncan test and one-way ANOVA followed by Student-Newman-</w:t>
      </w:r>
      <w:proofErr w:type="spellStart"/>
      <w:r w:rsidRPr="006E0DF0">
        <w:rPr>
          <w:rFonts w:hint="eastAsia"/>
        </w:rPr>
        <w:t>Keuls</w:t>
      </w:r>
      <w:proofErr w:type="spellEnd"/>
      <w:r w:rsidRPr="006E0DF0">
        <w:rPr>
          <w:rFonts w:hint="eastAsia"/>
        </w:rPr>
        <w:t xml:space="preserve"> test.</w:t>
      </w:r>
    </w:p>
    <w:p w14:paraId="2EEBC9BC" w14:textId="77777777" w:rsidR="006E0DF0" w:rsidRDefault="006E0DF0" w:rsidP="006E0DF0"/>
    <w:p w14:paraId="6FFBBF8D" w14:textId="1850E250" w:rsidR="006E0DF0" w:rsidRDefault="006E0DF0" w:rsidP="006E0DF0">
      <w:r>
        <w:rPr>
          <w:rFonts w:hint="eastAsia"/>
          <w:noProof/>
        </w:rPr>
        <w:drawing>
          <wp:inline distT="0" distB="0" distL="0" distR="0" wp14:anchorId="3D4667D0" wp14:editId="71511987">
            <wp:extent cx="5468021" cy="5401247"/>
            <wp:effectExtent l="0" t="0" r="0" b="9525"/>
            <wp:docPr id="9102576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472967" cy="5406133"/>
                    </a:xfrm>
                    <a:prstGeom prst="rect">
                      <a:avLst/>
                    </a:prstGeom>
                    <a:noFill/>
                  </pic:spPr>
                </pic:pic>
              </a:graphicData>
            </a:graphic>
          </wp:inline>
        </w:drawing>
      </w:r>
    </w:p>
    <w:p w14:paraId="60A839B0" w14:textId="3F45F018" w:rsidR="006E0DF0" w:rsidRDefault="006E0DF0" w:rsidP="006E0DF0">
      <w:r w:rsidRPr="006E0DF0">
        <w:t xml:space="preserve">Acute </w:t>
      </w:r>
      <w:proofErr w:type="spellStart"/>
      <w:r w:rsidRPr="006E0DF0">
        <w:t>fisetin</w:t>
      </w:r>
      <w:proofErr w:type="spellEnd"/>
      <w:r w:rsidRPr="006E0DF0">
        <w:t xml:space="preserve"> administration started 15 days after CCI surgery. Following baseline (0</w:t>
      </w:r>
      <w:r w:rsidRPr="006E0DF0">
        <w:rPr>
          <w:rFonts w:ascii="MS Gothic" w:eastAsia="MS Gothic" w:hAnsi="MS Gothic" w:cs="MS Gothic" w:hint="eastAsia"/>
        </w:rPr>
        <w:t> </w:t>
      </w:r>
      <w:r w:rsidRPr="006E0DF0">
        <w:t xml:space="preserve">h) assay of thermal (A, Hargreaves test) and mechanical (B, von Frey test) sensitivity, mice (sham or CCI) were administered with </w:t>
      </w:r>
      <w:proofErr w:type="spellStart"/>
      <w:r w:rsidRPr="006E0DF0">
        <w:t>fisetin</w:t>
      </w:r>
      <w:proofErr w:type="spellEnd"/>
      <w:r w:rsidRPr="006E0DF0">
        <w:t xml:space="preserve"> (45</w:t>
      </w:r>
      <w:r w:rsidRPr="006E0DF0">
        <w:rPr>
          <w:rFonts w:ascii="MS Gothic" w:eastAsia="MS Gothic" w:hAnsi="MS Gothic" w:cs="MS Gothic" w:hint="eastAsia"/>
        </w:rPr>
        <w:t> </w:t>
      </w:r>
      <w:r w:rsidRPr="006E0DF0">
        <w:t>mg/kg, p.o.) and then tested at 0.5, 1, 2, 3 and 4</w:t>
      </w:r>
      <w:r w:rsidRPr="006E0DF0">
        <w:rPr>
          <w:rFonts w:ascii="MS Gothic" w:eastAsia="MS Gothic" w:hAnsi="MS Gothic" w:cs="MS Gothic" w:hint="eastAsia"/>
        </w:rPr>
        <w:t> </w:t>
      </w:r>
      <w:r w:rsidRPr="006E0DF0">
        <w:t xml:space="preserve">hour after </w:t>
      </w:r>
      <w:proofErr w:type="spellStart"/>
      <w:r w:rsidRPr="006E0DF0">
        <w:t>fisetin</w:t>
      </w:r>
      <w:proofErr w:type="spellEnd"/>
      <w:r w:rsidRPr="006E0DF0">
        <w:t xml:space="preserve"> administration. (A) Acute </w:t>
      </w:r>
      <w:proofErr w:type="spellStart"/>
      <w:r w:rsidRPr="006E0DF0">
        <w:t>fisetin</w:t>
      </w:r>
      <w:proofErr w:type="spellEnd"/>
      <w:r w:rsidRPr="006E0DF0">
        <w:t xml:space="preserve"> treatment did not impact on the thermal sensitivity in both sham and CCI mice. (B) There is no alteration in mechanical sensitivity after single treatment with </w:t>
      </w:r>
      <w:proofErr w:type="spellStart"/>
      <w:r w:rsidRPr="006E0DF0">
        <w:t>fisetin</w:t>
      </w:r>
      <w:proofErr w:type="spellEnd"/>
      <w:r w:rsidRPr="006E0DF0">
        <w:t>. (A) and (B)</w:t>
      </w:r>
      <w:r w:rsidRPr="006E0DF0">
        <w:rPr>
          <w:rFonts w:hint="eastAsia"/>
        </w:rPr>
        <w:t xml:space="preserve"> Left panel: open circles represent sham + vehicle group; solid circles represent sham + </w:t>
      </w:r>
      <w:proofErr w:type="spellStart"/>
      <w:r w:rsidRPr="006E0DF0">
        <w:rPr>
          <w:rFonts w:hint="eastAsia"/>
        </w:rPr>
        <w:t>Fis</w:t>
      </w:r>
      <w:proofErr w:type="spellEnd"/>
      <w:r w:rsidRPr="006E0DF0">
        <w:rPr>
          <w:rFonts w:hint="eastAsia"/>
        </w:rPr>
        <w:t xml:space="preserve"> group; open triangles represent CCI + vehicle group; solid triangles represent CCI + </w:t>
      </w:r>
      <w:proofErr w:type="spellStart"/>
      <w:r w:rsidRPr="006E0DF0">
        <w:rPr>
          <w:rFonts w:hint="eastAsia"/>
        </w:rPr>
        <w:t>Fis</w:t>
      </w:r>
      <w:proofErr w:type="spellEnd"/>
      <w:r w:rsidRPr="006E0DF0">
        <w:rPr>
          <w:rFonts w:hint="eastAsia"/>
        </w:rPr>
        <w:t xml:space="preserve"> group. Data are expressed as mean ± SEM (n = 9–12 per group), assessed by multifactor ANOVA followed by Duncan test.</w:t>
      </w:r>
    </w:p>
    <w:p w14:paraId="775C98D4" w14:textId="77777777" w:rsidR="006E0DF0" w:rsidRDefault="006E0DF0" w:rsidP="006E0DF0">
      <w:r>
        <w:rPr>
          <w:rFonts w:hint="eastAsia"/>
        </w:rPr>
        <w:t>Behavioral Tests</w:t>
      </w:r>
    </w:p>
    <w:p w14:paraId="365FF893" w14:textId="77777777" w:rsidR="006E0DF0" w:rsidRDefault="006E0DF0" w:rsidP="006E0DF0">
      <w:r>
        <w:rPr>
          <w:rFonts w:hint="eastAsia"/>
        </w:rPr>
        <w:t xml:space="preserve">Thermal hyperalgesia and mechanical allodynia were used as outcome measures of pain-related behaviors in mice and were evaluated by Hargreaves test and von Frey test, respectively. The depression-like behaviors in mice were measured by forced swim test (FST) </w:t>
      </w:r>
      <w:r>
        <w:rPr>
          <w:rFonts w:hint="eastAsia"/>
        </w:rPr>
        <w:lastRenderedPageBreak/>
        <w:t xml:space="preserve">and novelty suppressed feeding test (NSFT), while the anxiety-like behaviors were assayed by light-dark test (LDT) and NSFT. In FST, NSFT and LDT, the animals were tested only once, </w:t>
      </w:r>
      <w:proofErr w:type="gramStart"/>
      <w:r>
        <w:rPr>
          <w:rFonts w:hint="eastAsia"/>
        </w:rPr>
        <w:t>i.e.</w:t>
      </w:r>
      <w:proofErr w:type="gramEnd"/>
      <w:r>
        <w:rPr>
          <w:rFonts w:hint="eastAsia"/>
        </w:rPr>
        <w:t xml:space="preserve"> the different time points of tests were done on independent sets o</w:t>
      </w:r>
      <w:r>
        <w:t xml:space="preserve">f animals. In Hargreaves test and von Frey test, the animals were tested consecutively in a time-course fashion. To investigate the acute actions of </w:t>
      </w:r>
      <w:proofErr w:type="spellStart"/>
      <w:r>
        <w:t>fisetin</w:t>
      </w:r>
      <w:proofErr w:type="spellEnd"/>
      <w:r>
        <w:t>, the behavior tests were performed at different time points (</w:t>
      </w:r>
      <w:proofErr w:type="gramStart"/>
      <w:r>
        <w:t>e.g.</w:t>
      </w:r>
      <w:proofErr w:type="gramEnd"/>
      <w:r>
        <w:t xml:space="preserve"> 0.5, 1, 2, 3 and 4</w:t>
      </w:r>
      <w:r>
        <w:rPr>
          <w:rFonts w:ascii="MS Gothic" w:eastAsia="MS Gothic" w:hAnsi="MS Gothic" w:cs="MS Gothic" w:hint="eastAsia"/>
        </w:rPr>
        <w:t> </w:t>
      </w:r>
      <w:r>
        <w:t xml:space="preserve">h) after a single </w:t>
      </w:r>
      <w:proofErr w:type="spellStart"/>
      <w:r>
        <w:t>fisetin</w:t>
      </w:r>
      <w:proofErr w:type="spellEnd"/>
      <w:r>
        <w:t xml:space="preserve"> administration on day 15. In the experiment settings for chronic </w:t>
      </w:r>
      <w:proofErr w:type="spellStart"/>
      <w:r>
        <w:t>fisetin</w:t>
      </w:r>
      <w:proofErr w:type="spellEnd"/>
      <w:r>
        <w:t xml:space="preserve"> treatment, the behavioral tests were done 1</w:t>
      </w:r>
      <w:r>
        <w:rPr>
          <w:rFonts w:ascii="MS Gothic" w:eastAsia="MS Gothic" w:hAnsi="MS Gothic" w:cs="MS Gothic" w:hint="eastAsia"/>
        </w:rPr>
        <w:t> </w:t>
      </w:r>
      <w:r>
        <w:t xml:space="preserve">hour before the morning </w:t>
      </w:r>
      <w:proofErr w:type="spellStart"/>
      <w:r>
        <w:t>fisetin</w:t>
      </w:r>
      <w:proofErr w:type="spellEnd"/>
      <w:r>
        <w:t xml:space="preserve"> treatment (1st </w:t>
      </w:r>
      <w:proofErr w:type="spellStart"/>
      <w:r>
        <w:t>fisetin</w:t>
      </w:r>
      <w:proofErr w:type="spellEnd"/>
      <w:r>
        <w:t xml:space="preserve"> treatment on the day, shown in Fig. 1B) as reported by previous studies2</w:t>
      </w:r>
      <w:r>
        <w:rPr>
          <w:rFonts w:hint="eastAsia"/>
        </w:rPr>
        <w:t>0,26.</w:t>
      </w:r>
    </w:p>
    <w:p w14:paraId="1ACFE71C" w14:textId="77777777" w:rsidR="006E0DF0" w:rsidRDefault="006E0DF0" w:rsidP="006E0DF0"/>
    <w:p w14:paraId="34E1F07E" w14:textId="77777777" w:rsidR="006E0DF0" w:rsidRDefault="006E0DF0" w:rsidP="006E0DF0">
      <w:r>
        <w:rPr>
          <w:rFonts w:hint="eastAsia"/>
        </w:rPr>
        <w:t xml:space="preserve">Hargreaves test: Thermal (heat) hyperalgesia was assessed based on the Hargreaves procedure27, using a plantar test apparatus (Ugo Basile, Italy) to determine the </w:t>
      </w:r>
      <w:proofErr w:type="spellStart"/>
      <w:r>
        <w:rPr>
          <w:rFonts w:hint="eastAsia"/>
        </w:rPr>
        <w:t>hindpaw</w:t>
      </w:r>
      <w:proofErr w:type="spellEnd"/>
      <w:r>
        <w:rPr>
          <w:rFonts w:hint="eastAsia"/>
        </w:rPr>
        <w:t xml:space="preserve"> withdraw latency to a thermal stimulus (radiant heat). Mice were placed in small Plex</w:t>
      </w:r>
      <w:r>
        <w:t>iglas cubicles and allowed to acclimatize for at least 20</w:t>
      </w:r>
      <w:r>
        <w:rPr>
          <w:rFonts w:ascii="MS Gothic" w:eastAsia="MS Gothic" w:hAnsi="MS Gothic" w:cs="MS Gothic" w:hint="eastAsia"/>
        </w:rPr>
        <w:t> </w:t>
      </w:r>
      <w:r>
        <w:t>min before testing. A radiant heat source with constant intensity (approximately 10</w:t>
      </w:r>
      <w:r>
        <w:rPr>
          <w:rFonts w:ascii="MS Gothic" w:eastAsia="MS Gothic" w:hAnsi="MS Gothic" w:cs="MS Gothic" w:hint="eastAsia"/>
        </w:rPr>
        <w:t> </w:t>
      </w:r>
      <w:r>
        <w:t>s on average in na</w:t>
      </w:r>
      <w:r>
        <w:rPr>
          <w:rFonts w:ascii="等线" w:eastAsia="等线" w:hAnsi="等线" w:cs="等线" w:hint="eastAsia"/>
        </w:rPr>
        <w:t>ï</w:t>
      </w:r>
      <w:r>
        <w:t xml:space="preserve">ve mice) was focused on the </w:t>
      </w:r>
      <w:proofErr w:type="spellStart"/>
      <w:r>
        <w:t>hindpaw</w:t>
      </w:r>
      <w:proofErr w:type="spellEnd"/>
      <w:r>
        <w:t xml:space="preserve"> of mice and the thermal latency (withdraw latency) was defi</w:t>
      </w:r>
      <w:r>
        <w:rPr>
          <w:rFonts w:hint="eastAsia"/>
        </w:rPr>
        <w:t>ned as the time (in seconds) from initial heat exposure to the withdrawal of the hind paw. The thermal latency was determined in triplicate for each animal, with 5-min intervals to prevent thermal sensitization and behavioral disturbances. A cut-off time o</w:t>
      </w:r>
      <w:r>
        <w:t>f 22</w:t>
      </w:r>
      <w:r>
        <w:rPr>
          <w:rFonts w:ascii="MS Gothic" w:eastAsia="MS Gothic" w:hAnsi="MS Gothic" w:cs="MS Gothic" w:hint="eastAsia"/>
        </w:rPr>
        <w:t> </w:t>
      </w:r>
      <w:r>
        <w:t>s was set to prevent tissue damage in the absence of response.</w:t>
      </w:r>
    </w:p>
    <w:p w14:paraId="5AD3EB03" w14:textId="77777777" w:rsidR="006E0DF0" w:rsidRDefault="006E0DF0" w:rsidP="006E0DF0"/>
    <w:p w14:paraId="0EEBB8BF" w14:textId="77777777" w:rsidR="006E0DF0" w:rsidRDefault="006E0DF0" w:rsidP="006E0DF0">
      <w:r>
        <w:rPr>
          <w:rFonts w:hint="eastAsia"/>
        </w:rPr>
        <w:t>Von Frey test: Mechanical allodynia was tested using a series of von Frey monofilaments (</w:t>
      </w:r>
      <w:proofErr w:type="spellStart"/>
      <w:r>
        <w:rPr>
          <w:rFonts w:hint="eastAsia"/>
        </w:rPr>
        <w:t>Stoelting</w:t>
      </w:r>
      <w:proofErr w:type="spellEnd"/>
      <w:r>
        <w:rPr>
          <w:rFonts w:hint="eastAsia"/>
        </w:rPr>
        <w:t xml:space="preserve"> USA) and results (mechanical threshold) were expressed as grams. Mice were placed in transparent Perspex cubicles with an elevated wire mesh bottom, and allo</w:t>
      </w:r>
      <w:r>
        <w:t>wed to habituate for at least 20</w:t>
      </w:r>
      <w:r>
        <w:rPr>
          <w:rFonts w:ascii="MS Gothic" w:eastAsia="MS Gothic" w:hAnsi="MS Gothic" w:cs="MS Gothic" w:hint="eastAsia"/>
        </w:rPr>
        <w:t> </w:t>
      </w:r>
      <w:r>
        <w:t>min before testing. The filaments were applied perpendicularly to the plantar surface of hind paw in a series of ascending forces (equivalent to 0.16, 0.4, 0.6, 1, 1.4, 2, 4, 6, 8, 10</w:t>
      </w:r>
      <w:r>
        <w:rPr>
          <w:rFonts w:ascii="MS Gothic" w:eastAsia="MS Gothic" w:hAnsi="MS Gothic" w:cs="MS Gothic" w:hint="eastAsia"/>
        </w:rPr>
        <w:t> </w:t>
      </w:r>
      <w:r>
        <w:t>g force, respectively). Each filament w</w:t>
      </w:r>
      <w:r>
        <w:rPr>
          <w:rFonts w:hint="eastAsia"/>
        </w:rPr>
        <w:t>as tested five times per paw, and the mechanical threshold was defined as the minimal force that caused at least three withdraws observed out of five consecutive trials17.</w:t>
      </w:r>
    </w:p>
    <w:p w14:paraId="041B2506" w14:textId="77777777" w:rsidR="006E0DF0" w:rsidRDefault="006E0DF0" w:rsidP="006E0DF0"/>
    <w:p w14:paraId="2067FC0C" w14:textId="77777777" w:rsidR="006E0DF0" w:rsidRDefault="006E0DF0" w:rsidP="006E0DF0">
      <w:r>
        <w:t xml:space="preserve">Forced swim test (FST): FST was conducted according to the method established by </w:t>
      </w:r>
      <w:proofErr w:type="spellStart"/>
      <w:r>
        <w:t>Porsolt</w:t>
      </w:r>
      <w:proofErr w:type="spellEnd"/>
      <w:r>
        <w:t xml:space="preserve"> et al28. Briefly, mice were individually plunged into vertical Plexiglas cylinders (height: 25</w:t>
      </w:r>
      <w:r>
        <w:rPr>
          <w:rFonts w:ascii="MS Gothic" w:eastAsia="MS Gothic" w:hAnsi="MS Gothic" w:cs="MS Gothic" w:hint="eastAsia"/>
        </w:rPr>
        <w:t> </w:t>
      </w:r>
      <w:r>
        <w:t>cm and diameter: 10</w:t>
      </w:r>
      <w:r>
        <w:rPr>
          <w:rFonts w:ascii="MS Gothic" w:eastAsia="MS Gothic" w:hAnsi="MS Gothic" w:cs="MS Gothic" w:hint="eastAsia"/>
        </w:rPr>
        <w:t> </w:t>
      </w:r>
      <w:r>
        <w:t>cm), which were filled with water (depth: 10</w:t>
      </w:r>
      <w:r>
        <w:rPr>
          <w:rFonts w:ascii="MS Gothic" w:eastAsia="MS Gothic" w:hAnsi="MS Gothic" w:cs="MS Gothic" w:hint="eastAsia"/>
        </w:rPr>
        <w:t> </w:t>
      </w:r>
      <w:r>
        <w:t xml:space="preserve">cm and temperature: 24 </w:t>
      </w:r>
      <w:r>
        <w:rPr>
          <w:rFonts w:ascii="等线" w:eastAsia="等线" w:hAnsi="等线" w:cs="等线" w:hint="eastAsia"/>
        </w:rPr>
        <w:t>±</w:t>
      </w:r>
      <w:r>
        <w:t xml:space="preserve"> 1</w:t>
      </w:r>
      <w:r>
        <w:rPr>
          <w:rFonts w:ascii="等线" w:eastAsia="等线" w:hAnsi="等线" w:cs="等线" w:hint="eastAsia"/>
        </w:rPr>
        <w:t>°</w:t>
      </w:r>
      <w:r>
        <w:t>C), for 6</w:t>
      </w:r>
      <w:r>
        <w:rPr>
          <w:rFonts w:ascii="MS Gothic" w:eastAsia="MS Gothic" w:hAnsi="MS Gothic" w:cs="MS Gothic" w:hint="eastAsia"/>
        </w:rPr>
        <w:t> </w:t>
      </w:r>
      <w:r>
        <w:t>min. Mice were deemed immobile when they floated passively, without motion except for making only necessary movements to keep their heads above the water. The immobility time was recorded during the last 4</w:t>
      </w:r>
      <w:r>
        <w:rPr>
          <w:rFonts w:ascii="MS Gothic" w:eastAsia="MS Gothic" w:hAnsi="MS Gothic" w:cs="MS Gothic" w:hint="eastAsia"/>
        </w:rPr>
        <w:t> </w:t>
      </w:r>
      <w:r>
        <w:t>min of the total 6</w:t>
      </w:r>
      <w:r>
        <w:rPr>
          <w:rFonts w:ascii="MS Gothic" w:eastAsia="MS Gothic" w:hAnsi="MS Gothic" w:cs="MS Gothic" w:hint="eastAsia"/>
        </w:rPr>
        <w:t> </w:t>
      </w:r>
      <w:r>
        <w:t>m</w:t>
      </w:r>
      <w:r>
        <w:rPr>
          <w:rFonts w:hint="eastAsia"/>
        </w:rPr>
        <w:t>in trial.</w:t>
      </w:r>
    </w:p>
    <w:p w14:paraId="503D19EC" w14:textId="77777777" w:rsidR="006E0DF0" w:rsidRDefault="006E0DF0" w:rsidP="006E0DF0"/>
    <w:p w14:paraId="53184A1A" w14:textId="77777777" w:rsidR="006E0DF0" w:rsidRDefault="006E0DF0" w:rsidP="006E0DF0">
      <w:r>
        <w:t>Novelty suppressed feeding test (NSFT): NSFT reveals both depression and anxiety-like properties in rodents. The testing apparatus consists of a 40 × 40 × 30</w:t>
      </w:r>
      <w:r>
        <w:rPr>
          <w:rFonts w:ascii="MS Gothic" w:eastAsia="MS Gothic" w:hAnsi="MS Gothic" w:cs="MS Gothic" w:hint="eastAsia"/>
        </w:rPr>
        <w:t> </w:t>
      </w:r>
      <w:r>
        <w:t>cm plastic box with floor covered with 1</w:t>
      </w:r>
      <w:r>
        <w:rPr>
          <w:rFonts w:ascii="MS Gothic" w:eastAsia="MS Gothic" w:hAnsi="MS Gothic" w:cs="MS Gothic" w:hint="eastAsia"/>
        </w:rPr>
        <w:t> </w:t>
      </w:r>
      <w:r>
        <w:t>cm sawdust. Food was removed from the home cage 24</w:t>
      </w:r>
      <w:r>
        <w:rPr>
          <w:rFonts w:ascii="MS Gothic" w:eastAsia="MS Gothic" w:hAnsi="MS Gothic" w:cs="MS Gothic" w:hint="eastAsia"/>
        </w:rPr>
        <w:t> </w:t>
      </w:r>
      <w:r>
        <w:t>h befo</w:t>
      </w:r>
      <w:r>
        <w:rPr>
          <w:rFonts w:hint="eastAsia"/>
        </w:rPr>
        <w:t>re the test. At the beginning of testing, a pellet of food was placed on a paper in the center of the box. A mouse was then placed in a corner of the box and the latency to first contact or eat the pellet was recorded within a 5-min period. This procedure elicits a conflict between the drive to eat the food and the fear of venturing in the center of the box29.</w:t>
      </w:r>
    </w:p>
    <w:p w14:paraId="65DF9957" w14:textId="77777777" w:rsidR="006E0DF0" w:rsidRDefault="006E0DF0" w:rsidP="006E0DF0"/>
    <w:p w14:paraId="4E0A8CE6" w14:textId="77777777" w:rsidR="006E0DF0" w:rsidRDefault="006E0DF0" w:rsidP="006E0DF0">
      <w:r>
        <w:t>Light-dark test (LDT): The apparatus consists of light and dark boxes (25 × 18 × 20</w:t>
      </w:r>
      <w:r>
        <w:rPr>
          <w:rFonts w:ascii="MS Gothic" w:eastAsia="MS Gothic" w:hAnsi="MS Gothic" w:cs="MS Gothic" w:hint="eastAsia"/>
        </w:rPr>
        <w:t> </w:t>
      </w:r>
      <w:r>
        <w:t xml:space="preserve">cm each) connected by a dark tunnel (9 </w:t>
      </w:r>
      <w:r>
        <w:rPr>
          <w:rFonts w:ascii="等线" w:eastAsia="等线" w:hAnsi="等线" w:cs="等线" w:hint="eastAsia"/>
        </w:rPr>
        <w:t>×</w:t>
      </w:r>
      <w:r>
        <w:t xml:space="preserve"> 7 </w:t>
      </w:r>
      <w:r>
        <w:rPr>
          <w:rFonts w:ascii="等线" w:eastAsia="等线" w:hAnsi="等线" w:cs="等线" w:hint="eastAsia"/>
        </w:rPr>
        <w:t>×</w:t>
      </w:r>
      <w:r>
        <w:t xml:space="preserve"> 6</w:t>
      </w:r>
      <w:r>
        <w:rPr>
          <w:rFonts w:ascii="MS Gothic" w:eastAsia="MS Gothic" w:hAnsi="MS Gothic" w:cs="MS Gothic" w:hint="eastAsia"/>
        </w:rPr>
        <w:t> </w:t>
      </w:r>
      <w:r>
        <w:t>cm). The lit compartment was brightly illuminated (1500</w:t>
      </w:r>
      <w:r>
        <w:rPr>
          <w:rFonts w:ascii="MS Gothic" w:eastAsia="MS Gothic" w:hAnsi="MS Gothic" w:cs="MS Gothic" w:hint="eastAsia"/>
        </w:rPr>
        <w:t> </w:t>
      </w:r>
      <w:r>
        <w:t>lux). Mice were placed in the dark compartment in the beginning of the test and the time spent in the lit compartment was recorded during 5</w:t>
      </w:r>
      <w:r>
        <w:rPr>
          <w:rFonts w:ascii="MS Gothic" w:eastAsia="MS Gothic" w:hAnsi="MS Gothic" w:cs="MS Gothic" w:hint="eastAsia"/>
        </w:rPr>
        <w:t> </w:t>
      </w:r>
      <w:r>
        <w:t>min.</w:t>
      </w:r>
    </w:p>
    <w:p w14:paraId="05CC3BC9" w14:textId="77777777" w:rsidR="006E0DF0" w:rsidRDefault="006E0DF0" w:rsidP="006E0DF0"/>
    <w:p w14:paraId="071E3489" w14:textId="77777777" w:rsidR="006E0DF0" w:rsidRDefault="006E0DF0" w:rsidP="006E0DF0">
      <w:r>
        <w:rPr>
          <w:rFonts w:hint="eastAsia"/>
        </w:rPr>
        <w:t xml:space="preserve">Locomotor activity test: The assessment of locomotor activity was performed in mice according to our previous studies11. Locomotor activity was measured with an </w:t>
      </w:r>
      <w:proofErr w:type="spellStart"/>
      <w:r>
        <w:rPr>
          <w:rFonts w:hint="eastAsia"/>
        </w:rPr>
        <w:t>ambulometer</w:t>
      </w:r>
      <w:proofErr w:type="spellEnd"/>
      <w:r>
        <w:rPr>
          <w:rFonts w:hint="eastAsia"/>
        </w:rPr>
        <w:t xml:space="preserve"> with five activity chambers (JZZ98, Institute of Materia Medica, Chinese Academy of Medical Sciences, China). Mice were placed in the center of the chambers, with their paws connected or disconnected with the active bars producing random configurations that were converted into pulses. The pulses, which are proportional to the locomotor a</w:t>
      </w:r>
      <w:r>
        <w:t>ctivity of the mice, were automatically recorded for the cumulative total counts of motor activity. Mice were placed in the test chamber 10</w:t>
      </w:r>
      <w:r>
        <w:rPr>
          <w:rFonts w:ascii="MS Gothic" w:eastAsia="MS Gothic" w:hAnsi="MS Gothic" w:cs="MS Gothic" w:hint="eastAsia"/>
        </w:rPr>
        <w:t> </w:t>
      </w:r>
      <w:r>
        <w:t>min prior to the recording session and then locomotion counts were recorded for 5</w:t>
      </w:r>
      <w:r>
        <w:rPr>
          <w:rFonts w:ascii="MS Gothic" w:eastAsia="MS Gothic" w:hAnsi="MS Gothic" w:cs="MS Gothic" w:hint="eastAsia"/>
        </w:rPr>
        <w:t> </w:t>
      </w:r>
      <w:r>
        <w:t>min.</w:t>
      </w:r>
    </w:p>
    <w:p w14:paraId="2CD22D2F" w14:textId="77777777" w:rsidR="006E0DF0" w:rsidRDefault="006E0DF0" w:rsidP="006E0DF0"/>
    <w:p w14:paraId="161C2D82" w14:textId="77777777" w:rsidR="006E0DF0" w:rsidRDefault="006E0DF0" w:rsidP="006E0DF0">
      <w:r>
        <w:rPr>
          <w:rFonts w:hint="eastAsia"/>
        </w:rPr>
        <w:t>Measurement of monoamines (metabolites) and monoamine oxidase (MAO) activity</w:t>
      </w:r>
    </w:p>
    <w:p w14:paraId="3ED6B401" w14:textId="3123C45F" w:rsidR="006E0DF0" w:rsidRDefault="006E0DF0" w:rsidP="006E0DF0">
      <w:r>
        <w:t xml:space="preserve">Following 3 weeks </w:t>
      </w:r>
      <w:proofErr w:type="spellStart"/>
      <w:r>
        <w:t>fisetin</w:t>
      </w:r>
      <w:proofErr w:type="spellEnd"/>
      <w:r>
        <w:t xml:space="preserve"> or vehicle treatment, the mice were decapitated and the lumbar enlargements (approximately 1</w:t>
      </w:r>
      <w:r>
        <w:rPr>
          <w:rFonts w:ascii="MS Gothic" w:eastAsia="MS Gothic" w:hAnsi="MS Gothic" w:cs="MS Gothic" w:hint="eastAsia"/>
        </w:rPr>
        <w:t> </w:t>
      </w:r>
      <w:r>
        <w:t>cm) of their spinal cords were rapidly dissected out and collected. The contents of monoamines (NA, serotonin and dopamine) and their met</w:t>
      </w:r>
      <w:r>
        <w:rPr>
          <w:rFonts w:hint="eastAsia"/>
        </w:rPr>
        <w:t>abolites (5-HIAA and DOPAC) were measured using high-performance liquid chromatography (HPLC) with electrochemical detection (for details see Zhao et al.17). The MAO activity was assessed according to our previously established protocol (for details see Zhen et al.11).</w:t>
      </w:r>
    </w:p>
    <w:p w14:paraId="44313FF0" w14:textId="77777777" w:rsidR="006E0DF0" w:rsidRDefault="006E0DF0">
      <w:pPr>
        <w:widowControl/>
        <w:jc w:val="left"/>
      </w:pPr>
      <w:r>
        <w:rPr>
          <w:rFonts w:hint="eastAsia"/>
        </w:rPr>
        <w:br w:type="page"/>
      </w:r>
    </w:p>
    <w:p w14:paraId="4AB242AC" w14:textId="574564B0" w:rsidR="009549C7" w:rsidRDefault="00A75605" w:rsidP="009549C7">
      <w:r>
        <w:rPr>
          <w:rFonts w:hint="eastAsia"/>
        </w:rPr>
        <w:lastRenderedPageBreak/>
        <w:t>33.</w:t>
      </w:r>
      <w:hyperlink r:id="rId245" w:history="1">
        <w:r w:rsidR="0031015A" w:rsidRPr="0031015A">
          <w:rPr>
            <w:rStyle w:val="a7"/>
          </w:rPr>
          <w:t>Endogenous opioids contribute to insensitivity to pain in humans and mice lacking sodium channel Nav1.7 - PMC</w:t>
        </w:r>
      </w:hyperlink>
    </w:p>
    <w:p w14:paraId="61CA07F9" w14:textId="77777777" w:rsidR="0031015A" w:rsidRDefault="0031015A" w:rsidP="009549C7"/>
    <w:p w14:paraId="3864CA40" w14:textId="77777777" w:rsidR="0031015A" w:rsidRPr="0031015A" w:rsidRDefault="0031015A" w:rsidP="0031015A">
      <w:pPr>
        <w:rPr>
          <w:b/>
          <w:bCs/>
        </w:rPr>
      </w:pPr>
      <w:r w:rsidRPr="0031015A">
        <w:rPr>
          <w:rFonts w:hint="eastAsia"/>
          <w:b/>
          <w:bCs/>
        </w:rPr>
        <w:t>Endogenous opioids contribute to insensitivity to pain in humans and mice lacking sodium channel Nav1.7</w:t>
      </w:r>
    </w:p>
    <w:p w14:paraId="17382C32" w14:textId="0DAFD14B" w:rsidR="0031015A" w:rsidRDefault="0031015A" w:rsidP="0031015A">
      <w:r>
        <w:rPr>
          <w:rFonts w:hint="eastAsia"/>
        </w:rPr>
        <w:t xml:space="preserve">Michael S </w:t>
      </w:r>
      <w:proofErr w:type="spellStart"/>
      <w:r>
        <w:rPr>
          <w:rFonts w:hint="eastAsia"/>
        </w:rPr>
        <w:t>Minett</w:t>
      </w:r>
      <w:proofErr w:type="spellEnd"/>
      <w:r>
        <w:rPr>
          <w:rFonts w:hint="eastAsia"/>
        </w:rPr>
        <w:t xml:space="preserve"> 1,*, Vanessa Pereira 1,*, </w:t>
      </w:r>
      <w:proofErr w:type="spellStart"/>
      <w:r>
        <w:rPr>
          <w:rFonts w:hint="eastAsia"/>
        </w:rPr>
        <w:t>Shafaq</w:t>
      </w:r>
      <w:proofErr w:type="spellEnd"/>
      <w:r>
        <w:rPr>
          <w:rFonts w:hint="eastAsia"/>
        </w:rPr>
        <w:t xml:space="preserve"> Sikandar 1, Ayako Matsuyama 1, Sté</w:t>
      </w:r>
      <w:proofErr w:type="spellStart"/>
      <w:r>
        <w:rPr>
          <w:rFonts w:hint="eastAsia"/>
        </w:rPr>
        <w:t>phane</w:t>
      </w:r>
      <w:proofErr w:type="spellEnd"/>
      <w:r>
        <w:rPr>
          <w:rFonts w:hint="eastAsia"/>
        </w:rPr>
        <w:t xml:space="preserve"> </w:t>
      </w:r>
      <w:proofErr w:type="spellStart"/>
      <w:r>
        <w:rPr>
          <w:rFonts w:hint="eastAsia"/>
        </w:rPr>
        <w:t>Lolignier</w:t>
      </w:r>
      <w:proofErr w:type="spellEnd"/>
      <w:r>
        <w:rPr>
          <w:rFonts w:hint="eastAsia"/>
        </w:rPr>
        <w:t xml:space="preserve"> 1, Alexandros H </w:t>
      </w:r>
      <w:proofErr w:type="spellStart"/>
      <w:r>
        <w:rPr>
          <w:rFonts w:hint="eastAsia"/>
        </w:rPr>
        <w:t>Kanellopoulos</w:t>
      </w:r>
      <w:proofErr w:type="spellEnd"/>
      <w:r>
        <w:rPr>
          <w:rFonts w:hint="eastAsia"/>
        </w:rPr>
        <w:t xml:space="preserve"> 1, Flavia Mancini 2, Gian D </w:t>
      </w:r>
      <w:proofErr w:type="spellStart"/>
      <w:r>
        <w:rPr>
          <w:rFonts w:hint="eastAsia"/>
        </w:rPr>
        <w:t>Iannetti</w:t>
      </w:r>
      <w:proofErr w:type="spellEnd"/>
      <w:r>
        <w:rPr>
          <w:rFonts w:hint="eastAsia"/>
        </w:rPr>
        <w:t xml:space="preserve"> 2, </w:t>
      </w:r>
      <w:proofErr w:type="spellStart"/>
      <w:r>
        <w:rPr>
          <w:rFonts w:hint="eastAsia"/>
        </w:rPr>
        <w:t>Yury</w:t>
      </w:r>
      <w:proofErr w:type="spellEnd"/>
      <w:r>
        <w:rPr>
          <w:rFonts w:hint="eastAsia"/>
        </w:rPr>
        <w:t xml:space="preserve"> D Bogdanov 1, Sonia Santana-Varela 1, </w:t>
      </w:r>
      <w:proofErr w:type="spellStart"/>
      <w:r>
        <w:rPr>
          <w:rFonts w:hint="eastAsia"/>
        </w:rPr>
        <w:t>Queensta</w:t>
      </w:r>
      <w:proofErr w:type="spellEnd"/>
      <w:r>
        <w:rPr>
          <w:rFonts w:hint="eastAsia"/>
        </w:rPr>
        <w:t xml:space="preserve"> Millet 1, </w:t>
      </w:r>
      <w:proofErr w:type="spellStart"/>
      <w:r>
        <w:rPr>
          <w:rFonts w:hint="eastAsia"/>
        </w:rPr>
        <w:t>Giorgios</w:t>
      </w:r>
      <w:proofErr w:type="spellEnd"/>
      <w:r>
        <w:rPr>
          <w:rFonts w:hint="eastAsia"/>
        </w:rPr>
        <w:t xml:space="preserve"> </w:t>
      </w:r>
      <w:proofErr w:type="spellStart"/>
      <w:r>
        <w:rPr>
          <w:rFonts w:hint="eastAsia"/>
        </w:rPr>
        <w:t>Baskozos</w:t>
      </w:r>
      <w:proofErr w:type="spellEnd"/>
      <w:r>
        <w:rPr>
          <w:rFonts w:hint="eastAsia"/>
        </w:rPr>
        <w:t xml:space="preserve"> 3, Raymond </w:t>
      </w:r>
      <w:proofErr w:type="spellStart"/>
      <w:r>
        <w:rPr>
          <w:rFonts w:hint="eastAsia"/>
        </w:rPr>
        <w:t>MacAllister</w:t>
      </w:r>
      <w:proofErr w:type="spellEnd"/>
      <w:r>
        <w:rPr>
          <w:rFonts w:hint="eastAsia"/>
        </w:rPr>
        <w:t xml:space="preserve"> 4, James J Cox 1, Jing Zhao 1, John N Wood</w:t>
      </w:r>
    </w:p>
    <w:p w14:paraId="7E48578E" w14:textId="77777777" w:rsidR="0031015A" w:rsidRDefault="0031015A" w:rsidP="0031015A"/>
    <w:p w14:paraId="5A244290" w14:textId="1512EC54" w:rsidR="0031015A" w:rsidRDefault="0031015A" w:rsidP="0031015A">
      <w:r>
        <w:rPr>
          <w:rFonts w:hint="eastAsia"/>
          <w:noProof/>
        </w:rPr>
        <w:drawing>
          <wp:inline distT="0" distB="0" distL="0" distR="0" wp14:anchorId="1899EEA7" wp14:editId="40467917">
            <wp:extent cx="4526523" cy="5409127"/>
            <wp:effectExtent l="0" t="0" r="7620" b="1270"/>
            <wp:docPr id="201921355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554076" cy="5442053"/>
                    </a:xfrm>
                    <a:prstGeom prst="rect">
                      <a:avLst/>
                    </a:prstGeom>
                    <a:noFill/>
                  </pic:spPr>
                </pic:pic>
              </a:graphicData>
            </a:graphic>
          </wp:inline>
        </w:drawing>
      </w:r>
    </w:p>
    <w:p w14:paraId="1E068E77" w14:textId="41E1E686" w:rsidR="0031015A" w:rsidRDefault="0031015A" w:rsidP="0031015A">
      <w:r w:rsidRPr="0031015A">
        <w:t>Hargreaves ((</w:t>
      </w:r>
      <w:proofErr w:type="spellStart"/>
      <w:proofErr w:type="gramStart"/>
      <w:r w:rsidRPr="0031015A">
        <w:rPr>
          <w:b/>
          <w:bCs/>
        </w:rPr>
        <w:t>a</w:t>
      </w:r>
      <w:r w:rsidRPr="0031015A">
        <w:t>,</w:t>
      </w:r>
      <w:r w:rsidRPr="0031015A">
        <w:rPr>
          <w:b/>
          <w:bCs/>
        </w:rPr>
        <w:t>c</w:t>
      </w:r>
      <w:proofErr w:type="spellEnd"/>
      <w:proofErr w:type="gramEnd"/>
      <w:r w:rsidRPr="0031015A">
        <w:t>) </w:t>
      </w:r>
      <w:r w:rsidRPr="0031015A">
        <w:rPr>
          <w:i/>
          <w:iCs/>
        </w:rPr>
        <w:t>n</w:t>
      </w:r>
      <w:r w:rsidRPr="0031015A">
        <w:t>=6 female and </w:t>
      </w:r>
      <w:r w:rsidRPr="0031015A">
        <w:rPr>
          <w:i/>
          <w:iCs/>
        </w:rPr>
        <w:t>n</w:t>
      </w:r>
      <w:r w:rsidRPr="0031015A">
        <w:t>=6 male per genotype) and Randall-</w:t>
      </w:r>
      <w:proofErr w:type="spellStart"/>
      <w:r w:rsidRPr="0031015A">
        <w:t>Selitto</w:t>
      </w:r>
      <w:proofErr w:type="spellEnd"/>
      <w:r w:rsidRPr="0031015A">
        <w:t xml:space="preserve"> ((</w:t>
      </w:r>
      <w:proofErr w:type="spellStart"/>
      <w:r w:rsidRPr="0031015A">
        <w:rPr>
          <w:b/>
          <w:bCs/>
        </w:rPr>
        <w:t>b</w:t>
      </w:r>
      <w:r w:rsidRPr="0031015A">
        <w:t>,</w:t>
      </w:r>
      <w:r w:rsidRPr="0031015A">
        <w:rPr>
          <w:b/>
          <w:bCs/>
        </w:rPr>
        <w:t>d</w:t>
      </w:r>
      <w:proofErr w:type="spellEnd"/>
      <w:r w:rsidRPr="0031015A">
        <w:t>) </w:t>
      </w:r>
      <w:r w:rsidRPr="0031015A">
        <w:rPr>
          <w:i/>
          <w:iCs/>
        </w:rPr>
        <w:t>n</w:t>
      </w:r>
      <w:r w:rsidRPr="0031015A">
        <w:t>=3 female and </w:t>
      </w:r>
      <w:r w:rsidRPr="0031015A">
        <w:rPr>
          <w:i/>
          <w:iCs/>
        </w:rPr>
        <w:t>n</w:t>
      </w:r>
      <w:r w:rsidRPr="0031015A">
        <w:t xml:space="preserve">=3 male per genotype) pain </w:t>
      </w:r>
      <w:proofErr w:type="spellStart"/>
      <w:r w:rsidRPr="0031015A">
        <w:t>behavioural</w:t>
      </w:r>
      <w:proofErr w:type="spellEnd"/>
      <w:r w:rsidRPr="0031015A">
        <w:t xml:space="preserve"> tests show higher pain thresholds of Na</w:t>
      </w:r>
      <w:r w:rsidRPr="0031015A">
        <w:rPr>
          <w:vertAlign w:val="subscript"/>
        </w:rPr>
        <w:t>v</w:t>
      </w:r>
      <w:r w:rsidRPr="0031015A">
        <w:t>1.7 KO mice compared with littermates. Systemic naloxone reduces thermal and pressure pain thresholds of male and female Na</w:t>
      </w:r>
      <w:r w:rsidRPr="0031015A">
        <w:rPr>
          <w:vertAlign w:val="subscript"/>
        </w:rPr>
        <w:t>v</w:t>
      </w:r>
      <w:r w:rsidRPr="0031015A">
        <w:t>1.7 KO mice but has no effect on littermates. Thermally evoked (</w:t>
      </w:r>
      <w:r w:rsidRPr="0031015A">
        <w:rPr>
          <w:b/>
          <w:bCs/>
        </w:rPr>
        <w:t>e</w:t>
      </w:r>
      <w:r w:rsidRPr="0031015A">
        <w:t>) and mechanically evoked (</w:t>
      </w:r>
      <w:r w:rsidRPr="0031015A">
        <w:rPr>
          <w:b/>
          <w:bCs/>
        </w:rPr>
        <w:t>f</w:t>
      </w:r>
      <w:r w:rsidRPr="0031015A">
        <w:t>) firing of deep dorsal horn WDR neurons is lower in Na</w:t>
      </w:r>
      <w:r w:rsidRPr="0031015A">
        <w:rPr>
          <w:vertAlign w:val="subscript"/>
        </w:rPr>
        <w:t>v</w:t>
      </w:r>
      <w:r w:rsidRPr="0031015A">
        <w:t>1.7 KO mice (</w:t>
      </w:r>
      <w:r w:rsidRPr="0031015A">
        <w:rPr>
          <w:i/>
          <w:iCs/>
        </w:rPr>
        <w:t>n</w:t>
      </w:r>
      <w:r w:rsidRPr="0031015A">
        <w:t>=17 neurons) compared with littermate controls (</w:t>
      </w:r>
      <w:r w:rsidRPr="0031015A">
        <w:rPr>
          <w:i/>
          <w:iCs/>
        </w:rPr>
        <w:t>n</w:t>
      </w:r>
      <w:r w:rsidRPr="0031015A">
        <w:t>=24</w:t>
      </w:r>
      <w:r w:rsidRPr="0031015A">
        <w:rPr>
          <w:rFonts w:ascii="MS Gothic" w:eastAsia="MS Gothic" w:hAnsi="MS Gothic" w:cs="MS Gothic" w:hint="eastAsia"/>
        </w:rPr>
        <w:t> </w:t>
      </w:r>
      <w:r w:rsidRPr="0031015A">
        <w:t xml:space="preserve">neurons). Systemic </w:t>
      </w:r>
      <w:r w:rsidRPr="0031015A">
        <w:lastRenderedPageBreak/>
        <w:t>naloxone sensitizes evoked neuronal firing to both low and high threshold thermal stimulation, as well as high threshold and dynamic (brush) mechanical stimulation, with no effect on control littermates. (</w:t>
      </w:r>
      <w:r w:rsidRPr="0031015A">
        <w:rPr>
          <w:b/>
          <w:bCs/>
        </w:rPr>
        <w:t>g</w:t>
      </w:r>
      <w:r w:rsidRPr="0031015A">
        <w:t>) Ceacam10 KO and heterozygous KO mice show clear thermal analgesia in the Hargreaves test and this is unaffected by naloxone administration (</w:t>
      </w:r>
      <w:r w:rsidRPr="0031015A">
        <w:rPr>
          <w:i/>
          <w:iCs/>
        </w:rPr>
        <w:t>n</w:t>
      </w:r>
      <w:r w:rsidRPr="0031015A">
        <w:t xml:space="preserve">=6 per genotype). Data are expressed as </w:t>
      </w:r>
      <w:proofErr w:type="spellStart"/>
      <w:r w:rsidRPr="0031015A">
        <w:t>mean±s.e.m</w:t>
      </w:r>
      <w:proofErr w:type="spellEnd"/>
      <w:r w:rsidRPr="0031015A">
        <w:t>. *</w:t>
      </w:r>
      <w:r w:rsidRPr="0031015A">
        <w:rPr>
          <w:i/>
          <w:iCs/>
        </w:rPr>
        <w:t>P</w:t>
      </w:r>
      <w:r w:rsidRPr="0031015A">
        <w:t>&lt;0.05, **</w:t>
      </w:r>
      <w:r w:rsidRPr="0031015A">
        <w:rPr>
          <w:i/>
          <w:iCs/>
        </w:rPr>
        <w:t>P</w:t>
      </w:r>
      <w:r w:rsidRPr="0031015A">
        <w:t>&lt;0.01 and ***</w:t>
      </w:r>
      <w:r w:rsidRPr="0031015A">
        <w:rPr>
          <w:i/>
          <w:iCs/>
        </w:rPr>
        <w:t>P</w:t>
      </w:r>
      <w:r w:rsidRPr="0031015A">
        <w:t xml:space="preserve">&lt;0.001 significance levels indicate differences between KOs and littermates using a </w:t>
      </w:r>
      <w:proofErr w:type="gramStart"/>
      <w:r w:rsidRPr="0031015A">
        <w:t>Student's</w:t>
      </w:r>
      <w:proofErr w:type="gramEnd"/>
      <w:r w:rsidRPr="0031015A">
        <w:t> </w:t>
      </w:r>
      <w:r w:rsidRPr="0031015A">
        <w:rPr>
          <w:i/>
          <w:iCs/>
        </w:rPr>
        <w:t>t</w:t>
      </w:r>
      <w:r w:rsidRPr="0031015A">
        <w:t>-test and $</w:t>
      </w:r>
      <w:r w:rsidRPr="0031015A">
        <w:rPr>
          <w:i/>
          <w:iCs/>
        </w:rPr>
        <w:t>P</w:t>
      </w:r>
      <w:r w:rsidRPr="0031015A">
        <w:t>&lt;0.05, $$</w:t>
      </w:r>
      <w:r w:rsidRPr="0031015A">
        <w:rPr>
          <w:i/>
          <w:iCs/>
        </w:rPr>
        <w:t>P</w:t>
      </w:r>
      <w:r w:rsidRPr="0031015A">
        <w:t>&lt;0.01 and $$$ </w:t>
      </w:r>
      <w:r w:rsidRPr="0031015A">
        <w:rPr>
          <w:i/>
          <w:iCs/>
        </w:rPr>
        <w:t>P</w:t>
      </w:r>
      <w:r w:rsidRPr="0031015A">
        <w:t>&lt;0.001 indicate differences following naloxone administration using a paired </w:t>
      </w:r>
      <w:r w:rsidRPr="0031015A">
        <w:rPr>
          <w:i/>
          <w:iCs/>
        </w:rPr>
        <w:t>t</w:t>
      </w:r>
      <w:r w:rsidRPr="0031015A">
        <w:t>-test.</w:t>
      </w:r>
    </w:p>
    <w:p w14:paraId="48C9CFF0" w14:textId="77777777" w:rsidR="0031015A" w:rsidRDefault="0031015A" w:rsidP="0031015A"/>
    <w:p w14:paraId="3A4F5443" w14:textId="77777777" w:rsidR="0031015A" w:rsidRDefault="0031015A" w:rsidP="0031015A"/>
    <w:p w14:paraId="4311C778" w14:textId="77777777" w:rsidR="0031015A" w:rsidRDefault="0031015A" w:rsidP="0031015A">
      <w:r>
        <w:rPr>
          <w:rFonts w:hint="eastAsia"/>
        </w:rPr>
        <w:t xml:space="preserve">Mouse </w:t>
      </w:r>
      <w:proofErr w:type="spellStart"/>
      <w:r>
        <w:rPr>
          <w:rFonts w:hint="eastAsia"/>
        </w:rPr>
        <w:t>behaviour</w:t>
      </w:r>
      <w:proofErr w:type="spellEnd"/>
    </w:p>
    <w:p w14:paraId="1C1E20F6" w14:textId="77777777" w:rsidR="0031015A" w:rsidRDefault="0031015A" w:rsidP="0031015A">
      <w:r>
        <w:rPr>
          <w:rFonts w:hint="eastAsia"/>
        </w:rPr>
        <w:t xml:space="preserve">All </w:t>
      </w:r>
      <w:proofErr w:type="spellStart"/>
      <w:r>
        <w:rPr>
          <w:rFonts w:hint="eastAsia"/>
        </w:rPr>
        <w:t>behavioural</w:t>
      </w:r>
      <w:proofErr w:type="spellEnd"/>
      <w:r>
        <w:rPr>
          <w:rFonts w:hint="eastAsia"/>
        </w:rPr>
        <w:t xml:space="preserve"> experiments were performed by an experimenter blind to both genotype and treatment. Mechanical nociceptive thresholds were measured using the Randall-</w:t>
      </w:r>
      <w:proofErr w:type="spellStart"/>
      <w:r>
        <w:rPr>
          <w:rFonts w:hint="eastAsia"/>
        </w:rPr>
        <w:t>Selitto</w:t>
      </w:r>
      <w:proofErr w:type="spellEnd"/>
      <w:r>
        <w:rPr>
          <w:rFonts w:hint="eastAsia"/>
        </w:rPr>
        <w:t xml:space="preserve"> test that applies pressure to the tail with a 3-mm2 blunt conical probe using a 50</w:t>
      </w:r>
      <w:r>
        <w:t>0</w:t>
      </w:r>
      <w:r>
        <w:rPr>
          <w:rFonts w:ascii="MS Gothic" w:eastAsia="MS Gothic" w:hAnsi="MS Gothic" w:cs="MS Gothic" w:hint="eastAsia"/>
        </w:rPr>
        <w:t> </w:t>
      </w:r>
      <w:r>
        <w:t>g cutoff. Thermal nociceptive thresholds were determined by measuring paw-withdrawal latency using the Hargreaves apparatus at a ramp of 2.25</w:t>
      </w:r>
      <w:r>
        <w:rPr>
          <w:rFonts w:ascii="MS Gothic" w:eastAsia="MS Gothic" w:hAnsi="MS Gothic" w:cs="MS Gothic" w:hint="eastAsia"/>
        </w:rPr>
        <w:t> </w:t>
      </w:r>
      <w:r>
        <w:rPr>
          <w:rFonts w:ascii="等线" w:eastAsia="等线" w:hAnsi="等线" w:cs="等线" w:hint="eastAsia"/>
        </w:rPr>
        <w:t>°</w:t>
      </w:r>
      <w:r>
        <w:t>C</w:t>
      </w:r>
      <w:r>
        <w:rPr>
          <w:rFonts w:ascii="MS Gothic" w:eastAsia="MS Gothic" w:hAnsi="MS Gothic" w:cs="MS Gothic" w:hint="eastAsia"/>
        </w:rPr>
        <w:t> </w:t>
      </w:r>
      <w:r>
        <w:t>s</w:t>
      </w:r>
      <w:r>
        <w:rPr>
          <w:rFonts w:ascii="微软雅黑" w:eastAsia="微软雅黑" w:hAnsi="微软雅黑" w:cs="微软雅黑" w:hint="eastAsia"/>
        </w:rPr>
        <w:t>−</w:t>
      </w:r>
      <w:r>
        <w:t>1 with a 20-s cutoff. Naloxone hydrochloride dihydrate (2</w:t>
      </w:r>
      <w:r>
        <w:rPr>
          <w:rFonts w:ascii="MS Gothic" w:eastAsia="MS Gothic" w:hAnsi="MS Gothic" w:cs="MS Gothic" w:hint="eastAsia"/>
        </w:rPr>
        <w:t> </w:t>
      </w:r>
      <w:r>
        <w:t>mg</w:t>
      </w:r>
      <w:r>
        <w:rPr>
          <w:rFonts w:ascii="MS Gothic" w:eastAsia="MS Gothic" w:hAnsi="MS Gothic" w:cs="MS Gothic" w:hint="eastAsia"/>
        </w:rPr>
        <w:t> </w:t>
      </w:r>
      <w:r>
        <w:t>kg</w:t>
      </w:r>
      <w:r>
        <w:rPr>
          <w:rFonts w:ascii="微软雅黑" w:eastAsia="微软雅黑" w:hAnsi="微软雅黑" w:cs="微软雅黑" w:hint="eastAsia"/>
        </w:rPr>
        <w:t>−</w:t>
      </w:r>
      <w:r>
        <w:t>1 intraperitoneally, Sigma) was administered 30</w:t>
      </w:r>
      <w:r>
        <w:rPr>
          <w:rFonts w:ascii="MS Gothic" w:eastAsia="MS Gothic" w:hAnsi="MS Gothic" w:cs="MS Gothic" w:hint="eastAsia"/>
        </w:rPr>
        <w:t> </w:t>
      </w:r>
      <w:r>
        <w:t xml:space="preserve">min before </w:t>
      </w:r>
      <w:proofErr w:type="spellStart"/>
      <w:r>
        <w:t>behavioural</w:t>
      </w:r>
      <w:proofErr w:type="spellEnd"/>
      <w:r>
        <w:t xml:space="preserve"> assessment. Statistical differences between KOs and littermates, as well as the effects of naloxone in each genotype group, were determined using a two-way analysis of variance.</w:t>
      </w:r>
    </w:p>
    <w:p w14:paraId="4AE33317" w14:textId="77777777" w:rsidR="0031015A" w:rsidRDefault="0031015A" w:rsidP="0031015A"/>
    <w:p w14:paraId="092BDC44" w14:textId="77777777" w:rsidR="0031015A" w:rsidRDefault="0031015A" w:rsidP="0031015A">
      <w:r>
        <w:rPr>
          <w:rFonts w:hint="eastAsia"/>
        </w:rPr>
        <w:t>In vivo electrophysiology</w:t>
      </w:r>
    </w:p>
    <w:p w14:paraId="4F1C3D77" w14:textId="7114BB38" w:rsidR="0031015A" w:rsidRDefault="0031015A" w:rsidP="0031015A">
      <w:r>
        <w:rPr>
          <w:rFonts w:hint="eastAsia"/>
        </w:rPr>
        <w:t xml:space="preserve">Electrophysiological recordings were performed by an experimenter blind to genotype. Mice were anaesthetized with </w:t>
      </w:r>
      <w:proofErr w:type="spellStart"/>
      <w:r>
        <w:rPr>
          <w:rFonts w:hint="eastAsia"/>
        </w:rPr>
        <w:t>isofluorane</w:t>
      </w:r>
      <w:proofErr w:type="spellEnd"/>
      <w:r>
        <w:rPr>
          <w:rFonts w:hint="eastAsia"/>
        </w:rPr>
        <w:t xml:space="preserve"> (4%; 66% N2O and 33% O2) and secured in a stereotaxic frame. </w:t>
      </w:r>
      <w:proofErr w:type="spellStart"/>
      <w:r>
        <w:rPr>
          <w:rFonts w:hint="eastAsia"/>
        </w:rPr>
        <w:t>Anaesthesia</w:t>
      </w:r>
      <w:proofErr w:type="spellEnd"/>
      <w:r>
        <w:rPr>
          <w:rFonts w:hint="eastAsia"/>
        </w:rPr>
        <w:t xml:space="preserve"> was reduced and maintained at 1.5% isoflurane for the rem</w:t>
      </w:r>
      <w:r>
        <w:t>aining duration of the experiment. A laminectomy was performed to expose L3–L5 segments of the spinal cord and extracellular recordings were made from WDR neurons in the deep dorsal horn (lamina III–V, 200–600</w:t>
      </w:r>
      <w:r>
        <w:rPr>
          <w:rFonts w:ascii="MS Gothic" w:eastAsia="MS Gothic" w:hAnsi="MS Gothic" w:cs="MS Gothic" w:hint="eastAsia"/>
        </w:rPr>
        <w:t> </w:t>
      </w:r>
      <w:r>
        <w:rPr>
          <w:rFonts w:ascii="等线" w:eastAsia="等线" w:hAnsi="等线" w:cs="等线" w:hint="eastAsia"/>
        </w:rPr>
        <w:t>μ</w:t>
      </w:r>
      <w:r>
        <w:t xml:space="preserve">m) using </w:t>
      </w:r>
      <w:proofErr w:type="spellStart"/>
      <w:r>
        <w:t>parylene</w:t>
      </w:r>
      <w:proofErr w:type="spellEnd"/>
      <w:r>
        <w:t>-coated tungsten electrodes (A-M Systems, USA) in Nav1.7 KO mice (n=17 neurons) and littermate controls (n=24</w:t>
      </w:r>
      <w:r>
        <w:rPr>
          <w:rFonts w:ascii="MS Gothic" w:eastAsia="MS Gothic" w:hAnsi="MS Gothic" w:cs="MS Gothic" w:hint="eastAsia"/>
        </w:rPr>
        <w:t> </w:t>
      </w:r>
      <w:r>
        <w:t xml:space="preserve">neurons). Mechanical and thermal stimuli were applied to the peripheral receptive field of spinal neurons on the </w:t>
      </w:r>
      <w:proofErr w:type="spellStart"/>
      <w:r>
        <w:t>hindpaw</w:t>
      </w:r>
      <w:proofErr w:type="spellEnd"/>
      <w:r>
        <w:t xml:space="preserve"> glabrous skin and the evoked activity of neurons was visualized on an oscilloscope and discriminated on a spike amplitude and waveform basis using a CED 1401 interface coupled to Spike 2 software (Cambridge Electronic Design, UK). Natural stimuli (non-noxious 8</w:t>
      </w:r>
      <w:r>
        <w:rPr>
          <w:rFonts w:ascii="MS Gothic" w:eastAsia="MS Gothic" w:hAnsi="MS Gothic" w:cs="MS Gothic" w:hint="eastAsia"/>
        </w:rPr>
        <w:t> </w:t>
      </w:r>
      <w:r>
        <w:t>g von Frey and noxious prod 100</w:t>
      </w:r>
      <w:r>
        <w:rPr>
          <w:rFonts w:ascii="MS Gothic" w:eastAsia="MS Gothic" w:hAnsi="MS Gothic" w:cs="MS Gothic" w:hint="eastAsia"/>
        </w:rPr>
        <w:t> </w:t>
      </w:r>
      <w:r>
        <w:t>g</w:t>
      </w:r>
      <w:r>
        <w:rPr>
          <w:rFonts w:ascii="MS Gothic" w:eastAsia="MS Gothic" w:hAnsi="MS Gothic" w:cs="MS Gothic" w:hint="eastAsia"/>
        </w:rPr>
        <w:t> </w:t>
      </w:r>
      <w:r>
        <w:t>cm</w:t>
      </w:r>
      <w:r>
        <w:rPr>
          <w:rFonts w:ascii="微软雅黑" w:eastAsia="微软雅黑" w:hAnsi="微软雅黑" w:cs="微软雅黑" w:hint="eastAsia"/>
        </w:rPr>
        <w:t>−</w:t>
      </w:r>
      <w:r>
        <w:t>2 mechanical stimulation; thermal water jet 40, 45</w:t>
      </w:r>
      <w:r>
        <w:rPr>
          <w:rFonts w:ascii="MS Gothic" w:eastAsia="MS Gothic" w:hAnsi="MS Gothic" w:cs="MS Gothic" w:hint="eastAsia"/>
        </w:rPr>
        <w:t> </w:t>
      </w:r>
      <w:r>
        <w:rPr>
          <w:rFonts w:ascii="等线" w:eastAsia="等线" w:hAnsi="等线" w:cs="等线" w:hint="eastAsia"/>
        </w:rPr>
        <w:t>°</w:t>
      </w:r>
      <w:r>
        <w:t>C) were applied in ascending order of intensity to receptive fields for 10</w:t>
      </w:r>
      <w:r>
        <w:rPr>
          <w:rFonts w:ascii="MS Gothic" w:eastAsia="MS Gothic" w:hAnsi="MS Gothic" w:cs="MS Gothic" w:hint="eastAsia"/>
        </w:rPr>
        <w:t> </w:t>
      </w:r>
      <w:r>
        <w:t>s and the total number of evoked spikes recorded. Following baseline recordings of evoked activity of deep dorsal horn neurons, naloxone was administered (2</w:t>
      </w:r>
      <w:r>
        <w:rPr>
          <w:rFonts w:ascii="MS Gothic" w:eastAsia="MS Gothic" w:hAnsi="MS Gothic" w:cs="MS Gothic" w:hint="eastAsia"/>
        </w:rPr>
        <w:t> </w:t>
      </w:r>
      <w:r>
        <w:t>mg</w:t>
      </w:r>
      <w:r>
        <w:rPr>
          <w:rFonts w:ascii="MS Gothic" w:eastAsia="MS Gothic" w:hAnsi="MS Gothic" w:cs="MS Gothic" w:hint="eastAsia"/>
        </w:rPr>
        <w:t> </w:t>
      </w:r>
      <w:r>
        <w:t>kg</w:t>
      </w:r>
      <w:r>
        <w:rPr>
          <w:rFonts w:ascii="微软雅黑" w:eastAsia="微软雅黑" w:hAnsi="微软雅黑" w:cs="微软雅黑" w:hint="eastAsia"/>
        </w:rPr>
        <w:t>−</w:t>
      </w:r>
      <w:r>
        <w:t xml:space="preserve">1 subcutaneously, Sigma) and evoked activity to natural stimuli was characterized again. Statistical significance for differences between littermates and KOs was determined using a t-test; effects of naloxone on littermates and KOs </w:t>
      </w:r>
      <w:r>
        <w:rPr>
          <w:rFonts w:hint="eastAsia"/>
        </w:rPr>
        <w:t>were determined using paired t-tests.</w:t>
      </w:r>
    </w:p>
    <w:p w14:paraId="435F58F1" w14:textId="77777777" w:rsidR="0031015A" w:rsidRDefault="0031015A">
      <w:pPr>
        <w:widowControl/>
        <w:jc w:val="left"/>
      </w:pPr>
      <w:r>
        <w:rPr>
          <w:rFonts w:hint="eastAsia"/>
        </w:rPr>
        <w:lastRenderedPageBreak/>
        <w:br w:type="page"/>
      </w:r>
    </w:p>
    <w:p w14:paraId="5CE5A5C1" w14:textId="1AE82D1B" w:rsidR="0031015A" w:rsidRDefault="00A75605" w:rsidP="0031015A">
      <w:r>
        <w:rPr>
          <w:rFonts w:hint="eastAsia"/>
        </w:rPr>
        <w:lastRenderedPageBreak/>
        <w:t>34.</w:t>
      </w:r>
      <w:hyperlink r:id="rId247" w:history="1">
        <w:r w:rsidR="00164AA1" w:rsidRPr="00164AA1">
          <w:rPr>
            <w:rStyle w:val="a7"/>
          </w:rPr>
          <w:t>WWL70 protects against chronic constriction injury-induced neuropathic pain in mice by cannabinoid receptor-independent mechanisms | Journal of Neuroinflammation | Full Text</w:t>
        </w:r>
      </w:hyperlink>
    </w:p>
    <w:p w14:paraId="5925A344" w14:textId="77777777" w:rsidR="00164AA1" w:rsidRDefault="00164AA1" w:rsidP="0031015A"/>
    <w:p w14:paraId="0BDBF8E2" w14:textId="77777777" w:rsidR="00164AA1" w:rsidRPr="00164AA1" w:rsidRDefault="00164AA1" w:rsidP="00164AA1">
      <w:pPr>
        <w:rPr>
          <w:b/>
          <w:bCs/>
        </w:rPr>
      </w:pPr>
      <w:r w:rsidRPr="00164AA1">
        <w:rPr>
          <w:rFonts w:hint="eastAsia"/>
          <w:b/>
          <w:bCs/>
        </w:rPr>
        <w:t>WWL70 protects against chronic constriction injury-induced neuropathic pain in mice by cannabinoid receptor-independent mechanisms</w:t>
      </w:r>
    </w:p>
    <w:p w14:paraId="455E6675" w14:textId="10E7ADB4" w:rsidR="00164AA1" w:rsidRDefault="00164AA1" w:rsidP="00164AA1">
      <w:proofErr w:type="spellStart"/>
      <w:r>
        <w:rPr>
          <w:rFonts w:hint="eastAsia"/>
        </w:rPr>
        <w:t>Jie</w:t>
      </w:r>
      <w:proofErr w:type="spellEnd"/>
      <w:r>
        <w:rPr>
          <w:rFonts w:hint="eastAsia"/>
        </w:rPr>
        <w:t xml:space="preserve"> Wen, Melissa Jones, </w:t>
      </w:r>
      <w:proofErr w:type="spellStart"/>
      <w:r>
        <w:rPr>
          <w:rFonts w:hint="eastAsia"/>
        </w:rPr>
        <w:t>Mikiei</w:t>
      </w:r>
      <w:proofErr w:type="spellEnd"/>
      <w:r>
        <w:rPr>
          <w:rFonts w:hint="eastAsia"/>
        </w:rPr>
        <w:t xml:space="preserve"> Tanaka, </w:t>
      </w:r>
      <w:proofErr w:type="spellStart"/>
      <w:r>
        <w:rPr>
          <w:rFonts w:hint="eastAsia"/>
        </w:rPr>
        <w:t>Prabhuanand</w:t>
      </w:r>
      <w:proofErr w:type="spellEnd"/>
      <w:r>
        <w:rPr>
          <w:rFonts w:hint="eastAsia"/>
        </w:rPr>
        <w:t xml:space="preserve"> Selvaraj, Aviva J. Symes, Brian Cox &amp; </w:t>
      </w:r>
      <w:proofErr w:type="spellStart"/>
      <w:r>
        <w:rPr>
          <w:rFonts w:hint="eastAsia"/>
        </w:rPr>
        <w:t>Yumin</w:t>
      </w:r>
      <w:proofErr w:type="spellEnd"/>
      <w:r>
        <w:rPr>
          <w:rFonts w:hint="eastAsia"/>
        </w:rPr>
        <w:t xml:space="preserve"> Zhang</w:t>
      </w:r>
    </w:p>
    <w:p w14:paraId="09BC2424" w14:textId="77777777" w:rsidR="00164AA1" w:rsidRDefault="00164AA1" w:rsidP="00164AA1"/>
    <w:p w14:paraId="0ABBB0CB" w14:textId="63B8799F" w:rsidR="00164AA1" w:rsidRDefault="00164AA1" w:rsidP="00164AA1">
      <w:r>
        <w:rPr>
          <w:rFonts w:hint="eastAsia"/>
          <w:noProof/>
        </w:rPr>
        <w:drawing>
          <wp:inline distT="0" distB="0" distL="0" distR="0" wp14:anchorId="0C655758" wp14:editId="475A0682">
            <wp:extent cx="5381625" cy="2133600"/>
            <wp:effectExtent l="0" t="0" r="9525" b="0"/>
            <wp:docPr id="98793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381625" cy="2133600"/>
                    </a:xfrm>
                    <a:prstGeom prst="rect">
                      <a:avLst/>
                    </a:prstGeom>
                    <a:noFill/>
                  </pic:spPr>
                </pic:pic>
              </a:graphicData>
            </a:graphic>
          </wp:inline>
        </w:drawing>
      </w:r>
    </w:p>
    <w:p w14:paraId="73A6D987" w14:textId="2A8D037D" w:rsidR="00164AA1" w:rsidRDefault="00164AA1" w:rsidP="00164AA1">
      <w:r w:rsidRPr="00164AA1">
        <w:t>WWL70 dose dependently alleviated neuropathic pain in CCI mice. At days 0, 3, and 6 after surgery, mechanical thresholds were evaluated by the “Up-Down” method using von Frey filaments (</w:t>
      </w:r>
      <w:r w:rsidRPr="00164AA1">
        <w:rPr>
          <w:b/>
          <w:bCs/>
        </w:rPr>
        <w:t>a</w:t>
      </w:r>
      <w:r w:rsidRPr="00164AA1">
        <w:t>) and thermal withdrawal latency was determined by the Hargreaves test (</w:t>
      </w:r>
      <w:r w:rsidRPr="00164AA1">
        <w:rPr>
          <w:b/>
          <w:bCs/>
        </w:rPr>
        <w:t>b</w:t>
      </w:r>
      <w:r w:rsidRPr="00164AA1">
        <w:t>). Treatment with WWL70 at 10 mg/kg significantly increased thermal withdrawal latency and mechanical thresholds compared to the vehicle group. However, at lower doses, WWL70 had no effect, although there was a trend towards the increased tactile threshold and withdrawal latency when treated with 5 mg/kg. *</w:t>
      </w:r>
      <w:r w:rsidRPr="00164AA1">
        <w:rPr>
          <w:i/>
          <w:iCs/>
        </w:rPr>
        <w:t>p</w:t>
      </w:r>
      <w:r w:rsidRPr="00164AA1">
        <w:rPr>
          <w:rFonts w:ascii="MS Gothic" w:eastAsia="MS Gothic" w:hAnsi="MS Gothic" w:cs="MS Gothic" w:hint="eastAsia"/>
        </w:rPr>
        <w:t> </w:t>
      </w:r>
      <w:r w:rsidRPr="00164AA1">
        <w:t>&lt;</w:t>
      </w:r>
      <w:r w:rsidRPr="00164AA1">
        <w:rPr>
          <w:rFonts w:ascii="MS Gothic" w:eastAsia="MS Gothic" w:hAnsi="MS Gothic" w:cs="MS Gothic" w:hint="eastAsia"/>
        </w:rPr>
        <w:t> </w:t>
      </w:r>
      <w:r w:rsidRPr="00164AA1">
        <w:t>0.05 was obtained when the WWL70 treated group was compared to the CCI vehicle group; ***</w:t>
      </w:r>
      <w:r w:rsidRPr="00164AA1">
        <w:rPr>
          <w:i/>
          <w:iCs/>
        </w:rPr>
        <w:t>p</w:t>
      </w:r>
      <w:r w:rsidRPr="00164AA1">
        <w:rPr>
          <w:rFonts w:ascii="MS Gothic" w:eastAsia="MS Gothic" w:hAnsi="MS Gothic" w:cs="MS Gothic" w:hint="eastAsia"/>
        </w:rPr>
        <w:t> </w:t>
      </w:r>
      <w:r w:rsidRPr="00164AA1">
        <w:t>&lt;</w:t>
      </w:r>
      <w:r w:rsidRPr="00164AA1">
        <w:rPr>
          <w:rFonts w:ascii="MS Gothic" w:eastAsia="MS Gothic" w:hAnsi="MS Gothic" w:cs="MS Gothic" w:hint="eastAsia"/>
        </w:rPr>
        <w:t> </w:t>
      </w:r>
      <w:r w:rsidRPr="00164AA1">
        <w:t>0.001 compared to baseline (mean</w:t>
      </w:r>
      <w:r w:rsidRPr="00164AA1">
        <w:rPr>
          <w:rFonts w:ascii="MS Gothic" w:eastAsia="MS Gothic" w:hAnsi="MS Gothic" w:cs="MS Gothic" w:hint="eastAsia"/>
        </w:rPr>
        <w:t> </w:t>
      </w:r>
      <w:r w:rsidRPr="00164AA1">
        <w:rPr>
          <w:rFonts w:ascii="等线" w:eastAsia="等线" w:hAnsi="等线" w:cs="等线" w:hint="eastAsia"/>
        </w:rPr>
        <w:t>±</w:t>
      </w:r>
      <w:r w:rsidRPr="00164AA1">
        <w:rPr>
          <w:rFonts w:ascii="MS Gothic" w:eastAsia="MS Gothic" w:hAnsi="MS Gothic" w:cs="MS Gothic" w:hint="eastAsia"/>
        </w:rPr>
        <w:t> </w:t>
      </w:r>
      <w:r w:rsidRPr="00164AA1">
        <w:t>S.E.M.,</w:t>
      </w:r>
      <w:r w:rsidRPr="00164AA1">
        <w:rPr>
          <w:rFonts w:ascii="等线" w:eastAsia="等线" w:hAnsi="等线" w:cs="等线" w:hint="eastAsia"/>
        </w:rPr>
        <w:t> </w:t>
      </w:r>
      <w:r w:rsidRPr="00164AA1">
        <w:rPr>
          <w:i/>
          <w:iCs/>
        </w:rPr>
        <w:t>n</w:t>
      </w:r>
      <w:r w:rsidRPr="00164AA1">
        <w:rPr>
          <w:rFonts w:ascii="MS Gothic" w:eastAsia="MS Gothic" w:hAnsi="MS Gothic" w:cs="MS Gothic" w:hint="eastAsia"/>
        </w:rPr>
        <w:t> </w:t>
      </w:r>
      <w:r w:rsidRPr="00164AA1">
        <w:t>=</w:t>
      </w:r>
      <w:r w:rsidRPr="00164AA1">
        <w:rPr>
          <w:rFonts w:ascii="MS Gothic" w:eastAsia="MS Gothic" w:hAnsi="MS Gothic" w:cs="MS Gothic" w:hint="eastAsia"/>
        </w:rPr>
        <w:t> </w:t>
      </w:r>
      <w:r w:rsidRPr="00164AA1">
        <w:t>8/group)</w:t>
      </w:r>
    </w:p>
    <w:p w14:paraId="5E0FEE26" w14:textId="77777777" w:rsidR="00164AA1" w:rsidRDefault="00164AA1" w:rsidP="00164AA1"/>
    <w:p w14:paraId="0027BA27" w14:textId="77777777" w:rsidR="00164AA1" w:rsidRPr="00164AA1" w:rsidRDefault="00164AA1" w:rsidP="00164AA1">
      <w:r w:rsidRPr="00164AA1">
        <w:t>Behavioral assessment of nociceptive behavior</w:t>
      </w:r>
    </w:p>
    <w:p w14:paraId="0F1D1122" w14:textId="77777777" w:rsidR="00164AA1" w:rsidRPr="00164AA1" w:rsidRDefault="00164AA1" w:rsidP="00164AA1">
      <w:pPr>
        <w:rPr>
          <w:b/>
          <w:bCs/>
        </w:rPr>
      </w:pPr>
      <w:r w:rsidRPr="00164AA1">
        <w:rPr>
          <w:b/>
          <w:bCs/>
        </w:rPr>
        <w:t xml:space="preserve">von Frey </w:t>
      </w:r>
      <w:proofErr w:type="gramStart"/>
      <w:r w:rsidRPr="00164AA1">
        <w:rPr>
          <w:b/>
          <w:bCs/>
        </w:rPr>
        <w:t>test</w:t>
      </w:r>
      <w:proofErr w:type="gramEnd"/>
    </w:p>
    <w:p w14:paraId="69270A36" w14:textId="77777777" w:rsidR="00164AA1" w:rsidRPr="00164AA1" w:rsidRDefault="00164AA1" w:rsidP="00164AA1">
      <w:r w:rsidRPr="00164AA1">
        <w:t>Mechanical allodynia induced by loose ligation of the sciatic nerve was assessed with the “von Frey” test, as described [</w:t>
      </w:r>
      <w:hyperlink r:id="rId249" w:anchor="ref-CR27" w:tooltip="Smits H, Ultenius C, Deumens R, Koopmans GC, Honig WM, van Kleef M, Linderoth B, Joosten EA. Effect of spinal cord stimulation in an animal model of neuropathic pain relates to degree of tactile " w:history="1">
        <w:r w:rsidRPr="00164AA1">
          <w:rPr>
            <w:rStyle w:val="a7"/>
          </w:rPr>
          <w:t>27</w:t>
        </w:r>
      </w:hyperlink>
      <w:r w:rsidRPr="00164AA1">
        <w:t>]. The level of allodynia was determined by testing the withdrawal reflex to tactile stimuli with von Frey filaments of varying thickness. Mechanical thresholds were determined by the “Up-Down” method [</w:t>
      </w:r>
      <w:hyperlink r:id="rId250" w:anchor="ref-CR28" w:tooltip="Chaplan SR, Bach FW, Pogrel JW, Chung JM, Yaksh TL. Quantitative assessment of tactile allodynia in the rat paw. J Neurosci Methods. 1994;53:55–63." w:history="1">
        <w:r w:rsidRPr="00164AA1">
          <w:rPr>
            <w:rStyle w:val="a7"/>
          </w:rPr>
          <w:t>28</w:t>
        </w:r>
      </w:hyperlink>
      <w:r w:rsidRPr="00164AA1">
        <w:t>]. Mice were placed in a Plexiglas cage with mesh metal flooring and allowed to acclimate for 30 min before testing. A series of calibrated von Frey filaments (</w:t>
      </w:r>
      <w:proofErr w:type="spellStart"/>
      <w:r w:rsidRPr="00164AA1">
        <w:t>Stoelting</w:t>
      </w:r>
      <w:proofErr w:type="spellEnd"/>
      <w:r w:rsidRPr="00164AA1">
        <w:t>, Inc., Wood Dale, IL) with logarithmically incremental stiffness ranging from 2.44 to 4.31 were applied to the mid-plantar surface of the hind paws. Each hair was presented perpendicularly against the paw, with sufficient force to cause slight bending, and held for 3 s. A positive response was noted if the paw was sharply withdrawn. Flinching immediately upon removal of the hair was also considered a positive response. In case of ambiguous response such as ambulation, the stimulus was repeated.</w:t>
      </w:r>
    </w:p>
    <w:p w14:paraId="19BF9F0E" w14:textId="77777777" w:rsidR="00164AA1" w:rsidRPr="00164AA1" w:rsidRDefault="00164AA1" w:rsidP="00164AA1">
      <w:pPr>
        <w:rPr>
          <w:b/>
          <w:bCs/>
        </w:rPr>
      </w:pPr>
      <w:r w:rsidRPr="00164AA1">
        <w:rPr>
          <w:b/>
          <w:bCs/>
        </w:rPr>
        <w:t>Hargreaves test</w:t>
      </w:r>
    </w:p>
    <w:p w14:paraId="6745952E" w14:textId="77777777" w:rsidR="00164AA1" w:rsidRPr="00164AA1" w:rsidRDefault="00164AA1" w:rsidP="00164AA1">
      <w:r w:rsidRPr="00164AA1">
        <w:t xml:space="preserve">Thermal escape latency was determined using a Hargreaves type thermal escape testing </w:t>
      </w:r>
      <w:r w:rsidRPr="00164AA1">
        <w:lastRenderedPageBreak/>
        <w:t>system (Plantar Analgesia Meter, IITC Life Science Inc., Woodland Hills, CA). The same groups of animals used for von Frey test were placed individually in Plexiglas cubicles on a glass surface and allowed to acclimate for 30 min prior to the Hargreaves test. The light beam was focused on the bottom of the glass with the aid of an angled mirror and created an intense spot under the foot pad. Paw withdrawal latency was defined as the time required for the paw to show an abrupt withdrawal. In the absence of a response at 20 s, the stimulus was terminated and that latency was assigned.</w:t>
      </w:r>
    </w:p>
    <w:p w14:paraId="7378EF48" w14:textId="77777777" w:rsidR="00164AA1" w:rsidRPr="00164AA1" w:rsidRDefault="00164AA1" w:rsidP="00164AA1">
      <w:r w:rsidRPr="00164AA1">
        <w:t>Drug treatment</w:t>
      </w:r>
    </w:p>
    <w:p w14:paraId="01809ABD" w14:textId="77777777" w:rsidR="00164AA1" w:rsidRPr="00164AA1" w:rsidRDefault="00164AA1" w:rsidP="00164AA1">
      <w:r w:rsidRPr="00164AA1">
        <w:t>All drugs were dissolved in DMSO-</w:t>
      </w:r>
      <w:proofErr w:type="spellStart"/>
      <w:r w:rsidRPr="00164AA1">
        <w:t>cremophor</w:t>
      </w:r>
      <w:proofErr w:type="spellEnd"/>
      <w:r w:rsidRPr="00164AA1">
        <w:t>-saline (1:1:18), which was used as a vehicle control. CCI mice were randomly assigned to receive the ABHD6 inhibitor WWL70 or the vehicle control. Drugs were given intraperitoneally (</w:t>
      </w:r>
      <w:proofErr w:type="spellStart"/>
      <w:r w:rsidRPr="00164AA1">
        <w:t>i.p.</w:t>
      </w:r>
      <w:proofErr w:type="spellEnd"/>
      <w:r w:rsidRPr="00164AA1">
        <w:t xml:space="preserve">) 3 h after surgery and then once daily until day 7. Animals were sacrificed on day 7, and the sciatic nerve, spinal cord, and DRG were collected for further analysis. To determine the cannabinoid receptor dependency, WWL70 (10 mg/kg) was co-administered with the CB1R antagonist AM281 (3 mg/kg, </w:t>
      </w:r>
      <w:proofErr w:type="spellStart"/>
      <w:r w:rsidRPr="00164AA1">
        <w:t>i.p.</w:t>
      </w:r>
      <w:proofErr w:type="spellEnd"/>
      <w:r w:rsidRPr="00164AA1">
        <w:t xml:space="preserve">) or the CB2R antagonist AM630 (3 mg/kg, </w:t>
      </w:r>
      <w:proofErr w:type="spellStart"/>
      <w:r w:rsidRPr="00164AA1">
        <w:t>i.p.</w:t>
      </w:r>
      <w:proofErr w:type="spellEnd"/>
      <w:r w:rsidRPr="00164AA1">
        <w:t>).</w:t>
      </w:r>
    </w:p>
    <w:p w14:paraId="3DBD089F" w14:textId="77777777" w:rsidR="00164AA1" w:rsidRPr="00164AA1" w:rsidRDefault="00164AA1" w:rsidP="00164AA1">
      <w:proofErr w:type="spellStart"/>
      <w:r w:rsidRPr="00164AA1">
        <w:t>qRT</w:t>
      </w:r>
      <w:proofErr w:type="spellEnd"/>
      <w:r w:rsidRPr="00164AA1">
        <w:t>-PCR</w:t>
      </w:r>
    </w:p>
    <w:p w14:paraId="18008BF0" w14:textId="77777777" w:rsidR="00164AA1" w:rsidRPr="00164AA1" w:rsidRDefault="00164AA1" w:rsidP="00164AA1">
      <w:r w:rsidRPr="00164AA1">
        <w:t xml:space="preserve">On day 7 after CCI surgery, mice were euthanized, and the sciatic nerves, DRG, and spinal cords were dissected out. Total RNA was extracted from tissues using </w:t>
      </w:r>
      <w:proofErr w:type="spellStart"/>
      <w:r w:rsidRPr="00164AA1">
        <w:t>Trizol</w:t>
      </w:r>
      <w:proofErr w:type="spellEnd"/>
      <w:r w:rsidRPr="00164AA1">
        <w:t xml:space="preserve"> reagent (Sigma, St Louis, MO). Gene expression was assessed by SYBR green-based </w:t>
      </w:r>
      <w:proofErr w:type="spellStart"/>
      <w:r w:rsidRPr="00164AA1">
        <w:t>qRT</w:t>
      </w:r>
      <w:proofErr w:type="spellEnd"/>
      <w:r w:rsidRPr="00164AA1">
        <w:t>-PCR. RNA (1 </w:t>
      </w:r>
      <w:proofErr w:type="spellStart"/>
      <w:r w:rsidRPr="00164AA1">
        <w:t>μg</w:t>
      </w:r>
      <w:proofErr w:type="spellEnd"/>
      <w:r w:rsidRPr="00164AA1">
        <w:t>) was reverse transcribed to cDNA. Fifty nanograms of cDNA was added to the qPCR reaction containing 1× fast universal PCR master mix (Applied Biosystems, Grand Island, NY), and 100 </w:t>
      </w:r>
      <w:proofErr w:type="spellStart"/>
      <w:r w:rsidRPr="00164AA1">
        <w:t>nM</w:t>
      </w:r>
      <w:proofErr w:type="spellEnd"/>
      <w:r w:rsidRPr="00164AA1">
        <w:t xml:space="preserve"> of each primer was analyzed in a CFX96™ Real-Time System (Bio-Rad, Hercules, CA). Amplification was performed at 95 °C for 15 s, 75 °C for 1 min, and 60 °C for 30 s for 40 cycles, followed by a melting point determination or dissociation curves. The expression level of each gene was indicated by the number of cycles needed for the cDNA amplification to reach a threshold. Relative levels of gene expression were determined by the 2</w:t>
      </w:r>
      <w:r w:rsidRPr="00164AA1">
        <w:rPr>
          <w:rFonts w:ascii="微软雅黑" w:eastAsia="微软雅黑" w:hAnsi="微软雅黑" w:cs="微软雅黑" w:hint="eastAsia"/>
          <w:vertAlign w:val="superscript"/>
        </w:rPr>
        <w:t>−</w:t>
      </w:r>
      <w:proofErr w:type="spellStart"/>
      <w:r w:rsidRPr="00164AA1">
        <w:rPr>
          <w:vertAlign w:val="superscript"/>
        </w:rPr>
        <w:t>ΔCt</w:t>
      </w:r>
      <w:proofErr w:type="spellEnd"/>
      <w:r w:rsidRPr="00164AA1">
        <w:t> method normalized to the expression of GAPDH. All primers used in this study are listed in Table </w:t>
      </w:r>
      <w:hyperlink r:id="rId251" w:anchor="Tab1" w:history="1">
        <w:r w:rsidRPr="00164AA1">
          <w:rPr>
            <w:rStyle w:val="a7"/>
          </w:rPr>
          <w:t>1</w:t>
        </w:r>
      </w:hyperlink>
      <w:r w:rsidRPr="00164AA1">
        <w:t>.</w:t>
      </w:r>
    </w:p>
    <w:p w14:paraId="6422E16D" w14:textId="7A5A7BA1" w:rsidR="00164AA1" w:rsidRDefault="00164AA1">
      <w:pPr>
        <w:widowControl/>
        <w:jc w:val="left"/>
      </w:pPr>
      <w:r>
        <w:rPr>
          <w:rFonts w:hint="eastAsia"/>
        </w:rPr>
        <w:br w:type="page"/>
      </w:r>
    </w:p>
    <w:p w14:paraId="6C6D7DE6" w14:textId="789701FD" w:rsidR="00693919" w:rsidRDefault="00A75605" w:rsidP="00164AA1">
      <w:r>
        <w:rPr>
          <w:rFonts w:hint="eastAsia"/>
        </w:rPr>
        <w:lastRenderedPageBreak/>
        <w:t>35.</w:t>
      </w:r>
      <w:hyperlink r:id="rId252" w:history="1">
        <w:r w:rsidR="003548E9" w:rsidRPr="003548E9">
          <w:rPr>
            <w:rStyle w:val="a7"/>
          </w:rPr>
          <w:t>Autoantibodies to citrullinated proteins induce joint pain independent of inflammation via a chemokine-dependent mechanism - PMC</w:t>
        </w:r>
      </w:hyperlink>
    </w:p>
    <w:p w14:paraId="071BC4C5" w14:textId="77777777" w:rsidR="003548E9" w:rsidRDefault="003548E9" w:rsidP="00164AA1"/>
    <w:p w14:paraId="15A40CD3" w14:textId="77777777" w:rsidR="003548E9" w:rsidRPr="003548E9" w:rsidRDefault="003548E9" w:rsidP="003548E9">
      <w:pPr>
        <w:rPr>
          <w:b/>
          <w:bCs/>
        </w:rPr>
      </w:pPr>
      <w:r w:rsidRPr="003548E9">
        <w:rPr>
          <w:rFonts w:hint="eastAsia"/>
          <w:b/>
          <w:bCs/>
        </w:rPr>
        <w:t>Autoantibodies to citrullinated proteins induce joint pain independent of inflammation via a chemokine-dependent mechanism</w:t>
      </w:r>
    </w:p>
    <w:p w14:paraId="0F2DE73B" w14:textId="518CBDB6" w:rsidR="003548E9" w:rsidRDefault="003548E9" w:rsidP="003548E9">
      <w:r>
        <w:rPr>
          <w:rFonts w:hint="eastAsia"/>
        </w:rPr>
        <w:t xml:space="preserve">Gustaf </w:t>
      </w:r>
      <w:proofErr w:type="spellStart"/>
      <w:r>
        <w:rPr>
          <w:rFonts w:hint="eastAsia"/>
        </w:rPr>
        <w:t>Wigerblad</w:t>
      </w:r>
      <w:proofErr w:type="spellEnd"/>
      <w:r>
        <w:rPr>
          <w:rFonts w:hint="eastAsia"/>
        </w:rPr>
        <w:t xml:space="preserve"> 1, </w:t>
      </w:r>
      <w:proofErr w:type="spellStart"/>
      <w:r>
        <w:rPr>
          <w:rFonts w:hint="eastAsia"/>
        </w:rPr>
        <w:t>Duygu</w:t>
      </w:r>
      <w:proofErr w:type="spellEnd"/>
      <w:r>
        <w:rPr>
          <w:rFonts w:hint="eastAsia"/>
        </w:rPr>
        <w:t xml:space="preserve"> B Bas 1, Cá</w:t>
      </w:r>
      <w:proofErr w:type="spellStart"/>
      <w:r>
        <w:rPr>
          <w:rFonts w:hint="eastAsia"/>
        </w:rPr>
        <w:t>tia</w:t>
      </w:r>
      <w:proofErr w:type="spellEnd"/>
      <w:r>
        <w:rPr>
          <w:rFonts w:hint="eastAsia"/>
        </w:rPr>
        <w:t xml:space="preserve"> </w:t>
      </w:r>
      <w:proofErr w:type="spellStart"/>
      <w:r>
        <w:rPr>
          <w:rFonts w:hint="eastAsia"/>
        </w:rPr>
        <w:t>Fernades-Cerqueira</w:t>
      </w:r>
      <w:proofErr w:type="spellEnd"/>
      <w:r>
        <w:rPr>
          <w:rFonts w:hint="eastAsia"/>
        </w:rPr>
        <w:t xml:space="preserve"> 2, </w:t>
      </w:r>
      <w:proofErr w:type="spellStart"/>
      <w:r>
        <w:rPr>
          <w:rFonts w:hint="eastAsia"/>
        </w:rPr>
        <w:t>Akilan</w:t>
      </w:r>
      <w:proofErr w:type="spellEnd"/>
      <w:r>
        <w:rPr>
          <w:rFonts w:hint="eastAsia"/>
        </w:rPr>
        <w:t xml:space="preserve"> Krishnamurthy 2, </w:t>
      </w:r>
      <w:proofErr w:type="spellStart"/>
      <w:r>
        <w:rPr>
          <w:rFonts w:hint="eastAsia"/>
        </w:rPr>
        <w:t>Kutty</w:t>
      </w:r>
      <w:proofErr w:type="spellEnd"/>
      <w:r>
        <w:rPr>
          <w:rFonts w:hint="eastAsia"/>
        </w:rPr>
        <w:t xml:space="preserve"> Selva Nandakumar 3, Katarzyna </w:t>
      </w:r>
      <w:proofErr w:type="spellStart"/>
      <w:r>
        <w:rPr>
          <w:rFonts w:hint="eastAsia"/>
        </w:rPr>
        <w:t>Rogoz</w:t>
      </w:r>
      <w:proofErr w:type="spellEnd"/>
      <w:r>
        <w:rPr>
          <w:rFonts w:hint="eastAsia"/>
        </w:rPr>
        <w:t xml:space="preserve"> 1, </w:t>
      </w:r>
      <w:proofErr w:type="spellStart"/>
      <w:r>
        <w:rPr>
          <w:rFonts w:hint="eastAsia"/>
        </w:rPr>
        <w:t>Jungo</w:t>
      </w:r>
      <w:proofErr w:type="spellEnd"/>
      <w:r>
        <w:rPr>
          <w:rFonts w:hint="eastAsia"/>
        </w:rPr>
        <w:t xml:space="preserve"> Kato 1, Katalin Sandor 1, </w:t>
      </w:r>
      <w:proofErr w:type="spellStart"/>
      <w:r>
        <w:rPr>
          <w:rFonts w:hint="eastAsia"/>
        </w:rPr>
        <w:t>Jie</w:t>
      </w:r>
      <w:proofErr w:type="spellEnd"/>
      <w:r>
        <w:rPr>
          <w:rFonts w:hint="eastAsia"/>
        </w:rPr>
        <w:t xml:space="preserve"> </w:t>
      </w:r>
      <w:proofErr w:type="spellStart"/>
      <w:r>
        <w:rPr>
          <w:rFonts w:hint="eastAsia"/>
        </w:rPr>
        <w:t>Su</w:t>
      </w:r>
      <w:proofErr w:type="spellEnd"/>
      <w:r>
        <w:rPr>
          <w:rFonts w:hint="eastAsia"/>
        </w:rPr>
        <w:t xml:space="preserve"> 1, Juan Miguel Jimenez–Andrade 4, Anja Finn 1, Alex </w:t>
      </w:r>
      <w:proofErr w:type="spellStart"/>
      <w:r>
        <w:rPr>
          <w:rFonts w:hint="eastAsia"/>
        </w:rPr>
        <w:t>Bersellini</w:t>
      </w:r>
      <w:proofErr w:type="spellEnd"/>
      <w:r>
        <w:rPr>
          <w:rFonts w:hint="eastAsia"/>
        </w:rPr>
        <w:t xml:space="preserve"> </w:t>
      </w:r>
      <w:proofErr w:type="spellStart"/>
      <w:r>
        <w:rPr>
          <w:rFonts w:hint="eastAsia"/>
        </w:rPr>
        <w:t>Farinotti</w:t>
      </w:r>
      <w:proofErr w:type="spellEnd"/>
      <w:r>
        <w:rPr>
          <w:rFonts w:hint="eastAsia"/>
        </w:rPr>
        <w:t xml:space="preserve"> 1, Khaled Amara 2, Karin Lundberg 2, </w:t>
      </w:r>
      <w:proofErr w:type="spellStart"/>
      <w:r>
        <w:rPr>
          <w:rFonts w:hint="eastAsia"/>
        </w:rPr>
        <w:t>Rikard</w:t>
      </w:r>
      <w:proofErr w:type="spellEnd"/>
      <w:r>
        <w:rPr>
          <w:rFonts w:hint="eastAsia"/>
        </w:rPr>
        <w:t xml:space="preserve"> Holmdahl 3, Per-Johan Jakobsson 2, </w:t>
      </w:r>
      <w:proofErr w:type="spellStart"/>
      <w:r>
        <w:rPr>
          <w:rFonts w:hint="eastAsia"/>
        </w:rPr>
        <w:t>Vivianne</w:t>
      </w:r>
      <w:proofErr w:type="spellEnd"/>
      <w:r>
        <w:rPr>
          <w:rFonts w:hint="eastAsia"/>
        </w:rPr>
        <w:t xml:space="preserve"> Malmström 2, Anca I Catrina 2, Lars </w:t>
      </w:r>
      <w:proofErr w:type="spellStart"/>
      <w:r>
        <w:rPr>
          <w:rFonts w:hint="eastAsia"/>
        </w:rPr>
        <w:t>Klareskog</w:t>
      </w:r>
      <w:proofErr w:type="spellEnd"/>
      <w:r>
        <w:rPr>
          <w:rFonts w:hint="eastAsia"/>
        </w:rPr>
        <w:t xml:space="preserve"> 2, Camilla I </w:t>
      </w:r>
      <w:proofErr w:type="spellStart"/>
      <w:r>
        <w:rPr>
          <w:rFonts w:hint="eastAsia"/>
        </w:rPr>
        <w:t>Svensson</w:t>
      </w:r>
      <w:proofErr w:type="spellEnd"/>
    </w:p>
    <w:p w14:paraId="62ACAB0A" w14:textId="77777777" w:rsidR="003548E9" w:rsidRDefault="003548E9" w:rsidP="003548E9"/>
    <w:p w14:paraId="224158D2" w14:textId="502B2B32" w:rsidR="003548E9" w:rsidRDefault="003548E9" w:rsidP="003548E9">
      <w:r>
        <w:rPr>
          <w:rFonts w:hint="eastAsia"/>
          <w:noProof/>
        </w:rPr>
        <w:drawing>
          <wp:inline distT="0" distB="0" distL="0" distR="0" wp14:anchorId="41FFD5EE" wp14:editId="226B2800">
            <wp:extent cx="5760977" cy="3145700"/>
            <wp:effectExtent l="0" t="0" r="0" b="0"/>
            <wp:docPr id="5187410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778054" cy="3155025"/>
                    </a:xfrm>
                    <a:prstGeom prst="rect">
                      <a:avLst/>
                    </a:prstGeom>
                    <a:noFill/>
                  </pic:spPr>
                </pic:pic>
              </a:graphicData>
            </a:graphic>
          </wp:inline>
        </w:drawing>
      </w:r>
    </w:p>
    <w:p w14:paraId="4FE97B99" w14:textId="61C5FC1B" w:rsidR="003548E9" w:rsidRDefault="003548E9" w:rsidP="003548E9">
      <w:r w:rsidRPr="003548E9">
        <w:t>Mechanical and thermal sensitivity and locomotor activity in mice following injection of human antibodies. Mechanical sensitivity in mice injected intravenously with saline (</w:t>
      </w:r>
      <w:proofErr w:type="spellStart"/>
      <w:r w:rsidRPr="003548E9">
        <w:t>sal</w:t>
      </w:r>
      <w:proofErr w:type="spellEnd"/>
      <w:r w:rsidRPr="003548E9">
        <w:t>), IgG from healthy donors, IgG from patients with ACPA</w:t>
      </w:r>
      <w:r w:rsidRPr="003548E9">
        <w:rPr>
          <w:rFonts w:ascii="微软雅黑" w:eastAsia="微软雅黑" w:hAnsi="微软雅黑" w:cs="微软雅黑" w:hint="eastAsia"/>
          <w:vertAlign w:val="superscript"/>
        </w:rPr>
        <w:t>−</w:t>
      </w:r>
      <w:r w:rsidRPr="003548E9">
        <w:t> RA or IgG from patients with ACPA</w:t>
      </w:r>
      <w:r w:rsidRPr="003548E9">
        <w:rPr>
          <w:vertAlign w:val="superscript"/>
        </w:rPr>
        <w:t>+</w:t>
      </w:r>
      <w:r w:rsidRPr="003548E9">
        <w:t> RA (4</w:t>
      </w:r>
      <w:r w:rsidRPr="003548E9">
        <w:rPr>
          <w:rFonts w:ascii="MS Gothic" w:eastAsia="MS Gothic" w:hAnsi="MS Gothic" w:cs="MS Gothic" w:hint="eastAsia"/>
        </w:rPr>
        <w:t> </w:t>
      </w:r>
      <w:r w:rsidRPr="003548E9">
        <w:t>mg, n=9/group) (A) and purified human (h) ACPA IgG (batch 1, 1</w:t>
      </w:r>
      <w:r w:rsidRPr="003548E9">
        <w:rPr>
          <w:rFonts w:ascii="MS Gothic" w:eastAsia="MS Gothic" w:hAnsi="MS Gothic" w:cs="MS Gothic" w:hint="eastAsia"/>
        </w:rPr>
        <w:t> </w:t>
      </w:r>
      <w:r w:rsidRPr="003548E9">
        <w:t>mg, n=4), non-ACPA IgG from the same patients (FT, 1</w:t>
      </w:r>
      <w:r w:rsidRPr="003548E9">
        <w:rPr>
          <w:rFonts w:ascii="MS Gothic" w:eastAsia="MS Gothic" w:hAnsi="MS Gothic" w:cs="MS Gothic" w:hint="eastAsia"/>
        </w:rPr>
        <w:t> </w:t>
      </w:r>
      <w:r w:rsidRPr="003548E9">
        <w:t>mg, n=6) and IgG from healthy donors (1</w:t>
      </w:r>
      <w:r w:rsidRPr="003548E9">
        <w:rPr>
          <w:rFonts w:ascii="MS Gothic" w:eastAsia="MS Gothic" w:hAnsi="MS Gothic" w:cs="MS Gothic" w:hint="eastAsia"/>
        </w:rPr>
        <w:t> </w:t>
      </w:r>
      <w:r w:rsidRPr="003548E9">
        <w:t>mg, n=6) (B). ACPA and FT from batch 1 were injected into a different strain of mice (n=7/group) and mechanical sensitivity assessed over time (C), cold sensitivity days 7 and 28 (E and F) and heat sensitivity day 25 (G). Total movement (H), ambulatory (directional) movement (I) and rearing (J) were monitored 12</w:t>
      </w:r>
      <w:r w:rsidRPr="003548E9">
        <w:rPr>
          <w:rFonts w:ascii="MS Gothic" w:eastAsia="MS Gothic" w:hAnsi="MS Gothic" w:cs="MS Gothic" w:hint="eastAsia"/>
        </w:rPr>
        <w:t> </w:t>
      </w:r>
      <w:r w:rsidRPr="003548E9">
        <w:t>h the third night (same mice as in C). Arthritis scores (0–60) (D). Mechanical sensitivity days 5 and 7 (K) and total movement (L), ambulatory movement (M) and rearing (N) during third night after injection with 1</w:t>
      </w:r>
      <w:r w:rsidRPr="003548E9">
        <w:rPr>
          <w:rFonts w:ascii="MS Gothic" w:eastAsia="MS Gothic" w:hAnsi="MS Gothic" w:cs="MS Gothic" w:hint="eastAsia"/>
        </w:rPr>
        <w:t> </w:t>
      </w:r>
      <w:r w:rsidRPr="003548E9">
        <w:t>mg ACPA batch 1</w:t>
      </w:r>
      <w:r w:rsidRPr="003548E9">
        <w:rPr>
          <w:rFonts w:ascii="等线" w:eastAsia="等线" w:hAnsi="等线" w:cs="等线" w:hint="eastAsia"/>
        </w:rPr>
        <w:t>–</w:t>
      </w:r>
      <w:r w:rsidRPr="003548E9">
        <w:t>3 (n=3 each) or 0.5</w:t>
      </w:r>
      <w:r w:rsidRPr="003548E9">
        <w:rPr>
          <w:rFonts w:ascii="MS Gothic" w:eastAsia="MS Gothic" w:hAnsi="MS Gothic" w:cs="MS Gothic" w:hint="eastAsia"/>
        </w:rPr>
        <w:t> </w:t>
      </w:r>
      <w:r w:rsidRPr="003548E9">
        <w:t>mg (n=7), 0.125</w:t>
      </w:r>
      <w:r w:rsidRPr="003548E9">
        <w:rPr>
          <w:rFonts w:ascii="MS Gothic" w:eastAsia="MS Gothic" w:hAnsi="MS Gothic" w:cs="MS Gothic" w:hint="eastAsia"/>
        </w:rPr>
        <w:t> </w:t>
      </w:r>
      <w:r w:rsidRPr="003548E9">
        <w:t>mg (n=6) ACPA batch 2 or corresponding FT (n=6/group) or saline. Data are presented as mean</w:t>
      </w:r>
      <w:r w:rsidRPr="003548E9">
        <w:rPr>
          <w:rFonts w:ascii="等线" w:eastAsia="等线" w:hAnsi="等线" w:cs="等线" w:hint="eastAsia"/>
        </w:rPr>
        <w:t>±</w:t>
      </w:r>
      <w:r w:rsidRPr="003548E9">
        <w:t>SEM. *p&lt;0.05, **p&lt;0.01, and ***p&lt;0.001 are compared with saline. ACPA, anti-citrullinated protein antibodies; FT, flow through; RA, rheumatoid arthritis.</w:t>
      </w:r>
    </w:p>
    <w:p w14:paraId="7BC545C6" w14:textId="77777777" w:rsidR="003548E9" w:rsidRDefault="003548E9" w:rsidP="003548E9"/>
    <w:p w14:paraId="18B87817" w14:textId="77777777" w:rsidR="003548E9" w:rsidRDefault="003548E9" w:rsidP="003548E9"/>
    <w:p w14:paraId="507A965E" w14:textId="77777777" w:rsidR="003548E9" w:rsidRPr="003548E9" w:rsidRDefault="003548E9" w:rsidP="003548E9">
      <w:r w:rsidRPr="003548E9">
        <w:lastRenderedPageBreak/>
        <w:t>Mechanical and thermal hypersensitivity</w:t>
      </w:r>
    </w:p>
    <w:p w14:paraId="09E773B0" w14:textId="77777777" w:rsidR="003548E9" w:rsidRPr="003548E9" w:rsidRDefault="003548E9" w:rsidP="003548E9">
      <w:r w:rsidRPr="003548E9">
        <w:t>Withdrawal thresholds of the hind paws were assessed using von Frey filaments as previously described.</w:t>
      </w:r>
      <w:hyperlink r:id="rId254" w:anchor="R19" w:history="1">
        <w:r w:rsidRPr="003548E9">
          <w:rPr>
            <w:rStyle w:val="a7"/>
            <w:vertAlign w:val="superscript"/>
          </w:rPr>
          <w:t>19</w:t>
        </w:r>
      </w:hyperlink>
      <w:r w:rsidRPr="003548E9">
        <w:t> A 50% withdrawal threshold was calculated using the Dixon up–down method,</w:t>
      </w:r>
      <w:hyperlink r:id="rId255" w:anchor="R20" w:history="1">
        <w:r w:rsidRPr="003548E9">
          <w:rPr>
            <w:rStyle w:val="a7"/>
            <w:vertAlign w:val="superscript"/>
          </w:rPr>
          <w:t>20</w:t>
        </w:r>
      </w:hyperlink>
      <w:r w:rsidRPr="003548E9">
        <w:t> and the results are presented as per cent of baseline values.</w:t>
      </w:r>
    </w:p>
    <w:p w14:paraId="0F4DCAC2" w14:textId="77777777" w:rsidR="003548E9" w:rsidRPr="003548E9" w:rsidRDefault="003548E9" w:rsidP="003548E9">
      <w:r w:rsidRPr="003548E9">
        <w:t>Heat sensitivity was examined using a modified Hargreaves box</w:t>
      </w:r>
      <w:hyperlink r:id="rId256" w:anchor="R21" w:history="1">
        <w:r w:rsidRPr="003548E9">
          <w:rPr>
            <w:rStyle w:val="a7"/>
            <w:vertAlign w:val="superscript"/>
          </w:rPr>
          <w:t>21</w:t>
        </w:r>
      </w:hyperlink>
      <w:r w:rsidRPr="003548E9">
        <w:t xml:space="preserve"> and cold sensitivity by gently applying a drop of acetone to the hind paw and measuring the duration of </w:t>
      </w:r>
      <w:proofErr w:type="spellStart"/>
      <w:r w:rsidRPr="003548E9">
        <w:t>nocifensive</w:t>
      </w:r>
      <w:proofErr w:type="spellEnd"/>
      <w:r w:rsidRPr="003548E9">
        <w:t xml:space="preserve"> </w:t>
      </w:r>
      <w:proofErr w:type="spellStart"/>
      <w:r w:rsidRPr="003548E9">
        <w:t>behaviour</w:t>
      </w:r>
      <w:proofErr w:type="spellEnd"/>
      <w:r w:rsidRPr="003548E9">
        <w:t xml:space="preserve"> (lifting, shaking, biting and licking the paw). The tests were repeated three times on each paw and the average calculated.</w:t>
      </w:r>
    </w:p>
    <w:p w14:paraId="36682136" w14:textId="77777777" w:rsidR="003548E9" w:rsidRPr="003548E9" w:rsidRDefault="003548E9" w:rsidP="003548E9">
      <w:r w:rsidRPr="003548E9">
        <w:t>Locomotor activity and food/water consumption</w:t>
      </w:r>
    </w:p>
    <w:p w14:paraId="53CED8F3" w14:textId="77777777" w:rsidR="003548E9" w:rsidRPr="003548E9" w:rsidRDefault="003548E9" w:rsidP="003548E9">
      <w:r w:rsidRPr="003548E9">
        <w:t xml:space="preserve">Activity level of the mice during a full night cycle was measured using </w:t>
      </w:r>
      <w:proofErr w:type="spellStart"/>
      <w:r w:rsidRPr="003548E9">
        <w:t>Oxymax</w:t>
      </w:r>
      <w:proofErr w:type="spellEnd"/>
      <w:r w:rsidRPr="003548E9">
        <w:t>/Comprehensive Lab Monitoring System (Columbus Instruments). Mice were monitored during the night cycle (18:00–06:00). Infrared sensors detect movement in X, Y and Z axes and the number of beam breaks recorded and presented as total movement (number of XY-axis beam breaks), ambulation (number of consecutive XY-axis beam breaks) and rearing (number of beam breaks in the Z axis).</w:t>
      </w:r>
    </w:p>
    <w:p w14:paraId="76584D29" w14:textId="5E627DA0" w:rsidR="003548E9" w:rsidRDefault="003548E9">
      <w:pPr>
        <w:widowControl/>
        <w:jc w:val="left"/>
      </w:pPr>
      <w:r>
        <w:rPr>
          <w:rFonts w:hint="eastAsia"/>
        </w:rPr>
        <w:br w:type="page"/>
      </w:r>
    </w:p>
    <w:p w14:paraId="037A3B05" w14:textId="3ABA4074" w:rsidR="003548E9" w:rsidRDefault="00A75605" w:rsidP="003548E9">
      <w:r>
        <w:rPr>
          <w:rFonts w:hint="eastAsia"/>
        </w:rPr>
        <w:lastRenderedPageBreak/>
        <w:t>36.</w:t>
      </w:r>
      <w:hyperlink r:id="rId257" w:history="1">
        <w:r w:rsidR="003A3E7F" w:rsidRPr="003A3E7F">
          <w:rPr>
            <w:rStyle w:val="a7"/>
          </w:rPr>
          <w:t>Effects of 660- and 980-nm low-level laser therapy on neuropathic pain relief following chronic constriction injury in rat sciatic nerve | Lasers in Medical Science</w:t>
        </w:r>
      </w:hyperlink>
    </w:p>
    <w:p w14:paraId="769DDA35" w14:textId="77777777" w:rsidR="003A3E7F" w:rsidRDefault="003A3E7F" w:rsidP="003548E9"/>
    <w:p w14:paraId="17B14E6F" w14:textId="77777777" w:rsidR="003A3E7F" w:rsidRPr="003A3E7F" w:rsidRDefault="003A3E7F" w:rsidP="003A3E7F">
      <w:pPr>
        <w:rPr>
          <w:b/>
          <w:bCs/>
        </w:rPr>
      </w:pPr>
      <w:r w:rsidRPr="003A3E7F">
        <w:rPr>
          <w:b/>
          <w:bCs/>
        </w:rPr>
        <w:t>Effects of 660- and 980-nm low-level laser therapy on neuropathic pain relief following chronic constriction injury in rat sciatic nerve</w:t>
      </w:r>
    </w:p>
    <w:p w14:paraId="5E8A7AE0" w14:textId="43884FDE" w:rsidR="003A3E7F" w:rsidRDefault="003A3E7F" w:rsidP="003548E9">
      <w:r w:rsidRPr="003A3E7F">
        <w:rPr>
          <w:rFonts w:hint="eastAsia"/>
        </w:rPr>
        <w:t xml:space="preserve">M. </w:t>
      </w:r>
      <w:proofErr w:type="spellStart"/>
      <w:r w:rsidRPr="003A3E7F">
        <w:rPr>
          <w:rFonts w:hint="eastAsia"/>
        </w:rPr>
        <w:t>Masoumipoor</w:t>
      </w:r>
      <w:proofErr w:type="spellEnd"/>
      <w:r w:rsidRPr="003A3E7F">
        <w:rPr>
          <w:rFonts w:hint="eastAsia"/>
        </w:rPr>
        <w:t xml:space="preserve">, S. B. </w:t>
      </w:r>
      <w:proofErr w:type="spellStart"/>
      <w:r w:rsidRPr="003A3E7F">
        <w:rPr>
          <w:rFonts w:hint="eastAsia"/>
        </w:rPr>
        <w:t>Jameie</w:t>
      </w:r>
      <w:proofErr w:type="spellEnd"/>
      <w:r w:rsidRPr="003A3E7F">
        <w:rPr>
          <w:rFonts w:hint="eastAsia"/>
        </w:rPr>
        <w:t xml:space="preserve">, A. </w:t>
      </w:r>
      <w:proofErr w:type="spellStart"/>
      <w:r w:rsidRPr="003A3E7F">
        <w:rPr>
          <w:rFonts w:hint="eastAsia"/>
        </w:rPr>
        <w:t>Janzadeh</w:t>
      </w:r>
      <w:proofErr w:type="spellEnd"/>
      <w:r w:rsidRPr="003A3E7F">
        <w:rPr>
          <w:rFonts w:hint="eastAsia"/>
        </w:rPr>
        <w:t xml:space="preserve">, F. </w:t>
      </w:r>
      <w:proofErr w:type="spellStart"/>
      <w:r w:rsidRPr="003A3E7F">
        <w:rPr>
          <w:rFonts w:hint="eastAsia"/>
        </w:rPr>
        <w:t>Nasirinezhad</w:t>
      </w:r>
      <w:proofErr w:type="spellEnd"/>
      <w:r w:rsidRPr="003A3E7F">
        <w:rPr>
          <w:rFonts w:hint="eastAsia"/>
        </w:rPr>
        <w:t xml:space="preserve">, M. Soleimani &amp; M. </w:t>
      </w:r>
      <w:proofErr w:type="spellStart"/>
      <w:r w:rsidRPr="003A3E7F">
        <w:rPr>
          <w:rFonts w:hint="eastAsia"/>
        </w:rPr>
        <w:t>Kerdary</w:t>
      </w:r>
      <w:proofErr w:type="spellEnd"/>
    </w:p>
    <w:p w14:paraId="12846C11" w14:textId="4C32632F" w:rsidR="003A3E7F" w:rsidRDefault="003A3E7F" w:rsidP="003548E9">
      <w:r>
        <w:rPr>
          <w:rFonts w:hint="eastAsia"/>
          <w:noProof/>
        </w:rPr>
        <w:drawing>
          <wp:inline distT="0" distB="0" distL="0" distR="0" wp14:anchorId="658B6698" wp14:editId="51B94900">
            <wp:extent cx="3771900" cy="2257425"/>
            <wp:effectExtent l="0" t="0" r="0" b="9525"/>
            <wp:docPr id="15034215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771900" cy="2257425"/>
                    </a:xfrm>
                    <a:prstGeom prst="rect">
                      <a:avLst/>
                    </a:prstGeom>
                    <a:noFill/>
                  </pic:spPr>
                </pic:pic>
              </a:graphicData>
            </a:graphic>
          </wp:inline>
        </w:drawing>
      </w:r>
    </w:p>
    <w:p w14:paraId="2BC03990" w14:textId="0DC49F25" w:rsidR="003A3E7F" w:rsidRDefault="003A3E7F" w:rsidP="003548E9">
      <w:r w:rsidRPr="003A3E7F">
        <w:t>Mean values of the thermal withdrawal threshold obtained from the groups during the study period (before surgery (</w:t>
      </w:r>
      <w:r w:rsidRPr="003A3E7F">
        <w:rPr>
          <w:i/>
          <w:iCs/>
        </w:rPr>
        <w:t>control</w:t>
      </w:r>
      <w:r w:rsidRPr="003A3E7F">
        <w:t>), the 7th and 14th days after surgery). </w:t>
      </w:r>
      <w:r w:rsidRPr="003A3E7F">
        <w:rPr>
          <w:i/>
          <w:iCs/>
        </w:rPr>
        <w:t>Asterisks</w:t>
      </w:r>
      <w:r w:rsidRPr="003A3E7F">
        <w:t> represent significant differences from the CCI group (***</w:t>
      </w:r>
      <w:r w:rsidRPr="003A3E7F">
        <w:rPr>
          <w:i/>
          <w:iCs/>
        </w:rPr>
        <w:t>P</w:t>
      </w:r>
      <w:r w:rsidRPr="003A3E7F">
        <w:rPr>
          <w:rFonts w:ascii="MS Gothic" w:eastAsia="MS Gothic" w:hAnsi="MS Gothic" w:cs="MS Gothic" w:hint="eastAsia"/>
        </w:rPr>
        <w:t> </w:t>
      </w:r>
      <w:r w:rsidRPr="003A3E7F">
        <w:t>&lt;</w:t>
      </w:r>
      <w:r w:rsidRPr="003A3E7F">
        <w:rPr>
          <w:rFonts w:ascii="MS Gothic" w:eastAsia="MS Gothic" w:hAnsi="MS Gothic" w:cs="MS Gothic" w:hint="eastAsia"/>
        </w:rPr>
        <w:t> </w:t>
      </w:r>
      <w:r w:rsidRPr="003A3E7F">
        <w:t>0.001, **</w:t>
      </w:r>
      <w:r w:rsidRPr="003A3E7F">
        <w:rPr>
          <w:i/>
          <w:iCs/>
        </w:rPr>
        <w:t>P</w:t>
      </w:r>
      <w:r w:rsidRPr="003A3E7F">
        <w:rPr>
          <w:rFonts w:ascii="MS Gothic" w:eastAsia="MS Gothic" w:hAnsi="MS Gothic" w:cs="MS Gothic" w:hint="eastAsia"/>
        </w:rPr>
        <w:t> </w:t>
      </w:r>
      <w:r w:rsidRPr="003A3E7F">
        <w:t>&lt;</w:t>
      </w:r>
      <w:r w:rsidRPr="003A3E7F">
        <w:rPr>
          <w:rFonts w:ascii="MS Gothic" w:eastAsia="MS Gothic" w:hAnsi="MS Gothic" w:cs="MS Gothic" w:hint="eastAsia"/>
        </w:rPr>
        <w:t> </w:t>
      </w:r>
      <w:r w:rsidRPr="003A3E7F">
        <w:t>0.01)</w:t>
      </w:r>
    </w:p>
    <w:p w14:paraId="5576CD17" w14:textId="77777777" w:rsidR="003A3E7F" w:rsidRDefault="003A3E7F" w:rsidP="003548E9"/>
    <w:p w14:paraId="1D77C5E2" w14:textId="77777777" w:rsidR="003A3E7F" w:rsidRDefault="003A3E7F" w:rsidP="003548E9"/>
    <w:p w14:paraId="18BC64A6" w14:textId="77777777" w:rsidR="003A3E7F" w:rsidRPr="003A3E7F" w:rsidRDefault="003A3E7F" w:rsidP="003A3E7F">
      <w:pPr>
        <w:rPr>
          <w:b/>
          <w:bCs/>
        </w:rPr>
      </w:pPr>
      <w:r w:rsidRPr="003A3E7F">
        <w:rPr>
          <w:b/>
          <w:bCs/>
        </w:rPr>
        <w:t>Thermal withdrawal threshold</w:t>
      </w:r>
    </w:p>
    <w:p w14:paraId="0E6DE1A4" w14:textId="77777777" w:rsidR="003A3E7F" w:rsidRPr="003A3E7F" w:rsidRDefault="003A3E7F" w:rsidP="003A3E7F">
      <w:r w:rsidRPr="003A3E7F">
        <w:t>By using a plantar test apparatus (Ugo Basile, Italy), thermal hyperalgesia, the latency to withdrawal of the hind paws from a focused beam of radiant heat applied to the plantar surface, was studied [</w:t>
      </w:r>
      <w:hyperlink r:id="rId259" w:anchor="ref-CR10" w:tooltip="Hargreaves K, Dubner R, Brown F, Flores C, Joris J (1988) A new and sensitive method for measuring thermal nociception in cutaneous hyperalgesia. Pain 32:77–88" w:history="1">
        <w:r w:rsidRPr="003A3E7F">
          <w:rPr>
            <w:rStyle w:val="a7"/>
          </w:rPr>
          <w:t>10</w:t>
        </w:r>
      </w:hyperlink>
      <w:r w:rsidRPr="003A3E7F">
        <w:t>]. The animals were placed in an acrylic box with glass floor, and the plantar surface of their hind paw was exposed to a beam of infrared radiant heat. The paw withdrawal latencies were recorded at infrared intensity 50; three trials for the right hind paws were performed, and for each reading, the apparatus was set at a cutoff time of 25 s. Each trial was separated by an interval time of 5 min.</w:t>
      </w:r>
    </w:p>
    <w:p w14:paraId="2875FFEF" w14:textId="77777777" w:rsidR="003A3E7F" w:rsidRPr="003A3E7F" w:rsidRDefault="003A3E7F" w:rsidP="003A3E7F">
      <w:pPr>
        <w:rPr>
          <w:b/>
          <w:bCs/>
        </w:rPr>
      </w:pPr>
      <w:r w:rsidRPr="003A3E7F">
        <w:rPr>
          <w:b/>
          <w:bCs/>
        </w:rPr>
        <w:t>Mechanical withdrawal threshold</w:t>
      </w:r>
    </w:p>
    <w:p w14:paraId="51E845DF" w14:textId="77777777" w:rsidR="003A3E7F" w:rsidRPr="003A3E7F" w:rsidRDefault="003A3E7F" w:rsidP="003A3E7F">
      <w:r w:rsidRPr="003A3E7F">
        <w:t>Mechanical paw withdrawal thresholds were assessed with the Randall–</w:t>
      </w:r>
      <w:proofErr w:type="spellStart"/>
      <w:r w:rsidRPr="003A3E7F">
        <w:t>Selitto</w:t>
      </w:r>
      <w:proofErr w:type="spellEnd"/>
      <w:r w:rsidRPr="003A3E7F">
        <w:t xml:space="preserve"> method by using an </w:t>
      </w:r>
      <w:proofErr w:type="spellStart"/>
      <w:r w:rsidRPr="003A3E7F">
        <w:t>Analgesy</w:t>
      </w:r>
      <w:proofErr w:type="spellEnd"/>
      <w:r w:rsidRPr="003A3E7F">
        <w:t>-meter apparatus (Ugo Basile, Italy; [</w:t>
      </w:r>
      <w:hyperlink r:id="rId260" w:anchor="ref-CR30" w:tooltip="RandallLO SJJ (1957) A method for measurement of analgesic activity on inflamed tissue. Arch Int Pharmacodyn Ther 111:409–419" w:history="1">
        <w:r w:rsidRPr="003A3E7F">
          <w:rPr>
            <w:rStyle w:val="a7"/>
          </w:rPr>
          <w:t>30</w:t>
        </w:r>
      </w:hyperlink>
      <w:r w:rsidRPr="003A3E7F">
        <w:t>]). This instrument exerts a force that increases at a constant rate. The force was applied to the hind paw of threat, which was placed on a small plinth under a cone-shaped pusher with a rounded tip (1.5 mm in diameter). The rat was held upright with the head and limb to be tested free, but most of the rest of the body cradled in the hands of the experimenter. The paw was then put under the pusher until the rat withdrew its hind paw. Each hind paw was tested twice, with a 10-min interval between the measurements, and mechanical paw withdrawal thresholds were calculated as the average of two consecutive measurements.</w:t>
      </w:r>
    </w:p>
    <w:p w14:paraId="37F90AF1" w14:textId="67BE857C" w:rsidR="003A3E7F" w:rsidRDefault="003A3E7F">
      <w:pPr>
        <w:widowControl/>
        <w:jc w:val="left"/>
      </w:pPr>
      <w:r>
        <w:rPr>
          <w:rFonts w:hint="eastAsia"/>
        </w:rPr>
        <w:br w:type="page"/>
      </w:r>
    </w:p>
    <w:p w14:paraId="64CE1432" w14:textId="320A71B7" w:rsidR="003B61D1" w:rsidRDefault="00A75605" w:rsidP="003B61D1">
      <w:r>
        <w:rPr>
          <w:rFonts w:hint="eastAsia"/>
        </w:rPr>
        <w:lastRenderedPageBreak/>
        <w:t>337.</w:t>
      </w:r>
      <w:hyperlink r:id="rId261" w:anchor="sec3" w:history="1">
        <w:r w:rsidR="00987189" w:rsidRPr="00987189">
          <w:rPr>
            <w:rStyle w:val="a7"/>
          </w:rPr>
          <w:t>Pharmacological validation of voluntary gait and mechanical sensitivity assays associated with inflammatory and neuropathic pain in mice - ScienceDirect</w:t>
        </w:r>
      </w:hyperlink>
    </w:p>
    <w:p w14:paraId="31E6AC6D" w14:textId="77777777" w:rsidR="003B61D1" w:rsidRDefault="003B61D1" w:rsidP="003B61D1"/>
    <w:p w14:paraId="7BFD71AF" w14:textId="77777777" w:rsidR="00987189" w:rsidRPr="00987189" w:rsidRDefault="00987189" w:rsidP="00987189">
      <w:pPr>
        <w:rPr>
          <w:b/>
          <w:bCs/>
        </w:rPr>
      </w:pPr>
      <w:r w:rsidRPr="00987189">
        <w:rPr>
          <w:rFonts w:hint="eastAsia"/>
          <w:b/>
          <w:bCs/>
        </w:rPr>
        <w:t>Pharmacological validation of voluntary gait and mechanical sensitivity assays associated with inflammatory and neuropathic pain in mice</w:t>
      </w:r>
    </w:p>
    <w:p w14:paraId="179FC6D0" w14:textId="49432910" w:rsidR="003B61D1" w:rsidRDefault="00987189" w:rsidP="00987189">
      <w:r>
        <w:rPr>
          <w:rFonts w:hint="eastAsia"/>
        </w:rPr>
        <w:t xml:space="preserve">Andrew J. </w:t>
      </w:r>
      <w:proofErr w:type="spellStart"/>
      <w:proofErr w:type="gramStart"/>
      <w:r>
        <w:rPr>
          <w:rFonts w:hint="eastAsia"/>
        </w:rPr>
        <w:t>Shepherd,Durga</w:t>
      </w:r>
      <w:proofErr w:type="spellEnd"/>
      <w:proofErr w:type="gramEnd"/>
      <w:r>
        <w:rPr>
          <w:rFonts w:hint="eastAsia"/>
        </w:rPr>
        <w:t xml:space="preserve"> P. Mohapatra</w:t>
      </w:r>
    </w:p>
    <w:p w14:paraId="63358AF3" w14:textId="77777777" w:rsidR="00987189" w:rsidRDefault="00987189" w:rsidP="00987189"/>
    <w:p w14:paraId="2E115D89" w14:textId="61623C2C" w:rsidR="00987189" w:rsidRDefault="00987189" w:rsidP="00987189">
      <w:r>
        <w:rPr>
          <w:rFonts w:hint="eastAsia"/>
          <w:noProof/>
        </w:rPr>
        <w:drawing>
          <wp:inline distT="0" distB="0" distL="0" distR="0" wp14:anchorId="21443F39" wp14:editId="6E3B6C53">
            <wp:extent cx="6024496" cy="4943869"/>
            <wp:effectExtent l="0" t="0" r="0" b="9525"/>
            <wp:docPr id="8406701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027343" cy="4946205"/>
                    </a:xfrm>
                    <a:prstGeom prst="rect">
                      <a:avLst/>
                    </a:prstGeom>
                    <a:noFill/>
                  </pic:spPr>
                </pic:pic>
              </a:graphicData>
            </a:graphic>
          </wp:inline>
        </w:drawing>
      </w:r>
    </w:p>
    <w:p w14:paraId="4BF8408B" w14:textId="2C9D3411" w:rsidR="00987189" w:rsidRDefault="00987189" w:rsidP="00987189">
      <w:proofErr w:type="spellStart"/>
      <w:r w:rsidRPr="00987189">
        <w:t>Hindpaw</w:t>
      </w:r>
      <w:proofErr w:type="spellEnd"/>
      <w:r w:rsidRPr="00987189">
        <w:t xml:space="preserve"> inflammation leads to prolonged heat and mechanical hypersensitivity in mice, which could be attenuated by carprofen. (</w:t>
      </w:r>
      <w:r w:rsidRPr="00987189">
        <w:rPr>
          <w:b/>
          <w:bCs/>
          <w:i/>
          <w:iCs/>
        </w:rPr>
        <w:t>A</w:t>
      </w:r>
      <w:r w:rsidRPr="00987189">
        <w:t xml:space="preserve">) </w:t>
      </w:r>
      <w:proofErr w:type="spellStart"/>
      <w:r w:rsidRPr="00987189">
        <w:t>Hindpaw</w:t>
      </w:r>
      <w:proofErr w:type="spellEnd"/>
      <w:r w:rsidRPr="00987189">
        <w:t xml:space="preserve"> injection of CFA (10 </w:t>
      </w:r>
      <w:proofErr w:type="spellStart"/>
      <w:r w:rsidRPr="00987189">
        <w:t>μl</w:t>
      </w:r>
      <w:proofErr w:type="spellEnd"/>
      <w:r w:rsidRPr="00987189">
        <w:t xml:space="preserve"> of a 1 mg/ml suspension) into mouse </w:t>
      </w:r>
      <w:proofErr w:type="spellStart"/>
      <w:r w:rsidRPr="00987189">
        <w:t>hindpaws</w:t>
      </w:r>
      <w:proofErr w:type="spellEnd"/>
      <w:r w:rsidRPr="00987189">
        <w:t xml:space="preserve"> led to sustained heat hypersensitivity in ipsilateral </w:t>
      </w:r>
      <w:proofErr w:type="spellStart"/>
      <w:r w:rsidRPr="00987189">
        <w:t>hindpaws</w:t>
      </w:r>
      <w:proofErr w:type="spellEnd"/>
      <w:r w:rsidRPr="00987189">
        <w:t xml:space="preserve"> for up to 6 days. Systemic administration (</w:t>
      </w:r>
      <w:proofErr w:type="spellStart"/>
      <w:r w:rsidRPr="00987189">
        <w:t>i.p.</w:t>
      </w:r>
      <w:proofErr w:type="spellEnd"/>
      <w:r w:rsidRPr="00987189">
        <w:t xml:space="preserve">) of carprofen (5 mg/kg) led to complete attenuation of ipsilateral </w:t>
      </w:r>
      <w:proofErr w:type="spellStart"/>
      <w:r w:rsidRPr="00987189">
        <w:t>hindpaw</w:t>
      </w:r>
      <w:proofErr w:type="spellEnd"/>
      <w:r w:rsidRPr="00987189">
        <w:t xml:space="preserve"> heat hypersensitivity in CFA-injected mice. Mice were tested 1.5 h post saline/carprofen administration. Data are plotted as mean ± SEM of paw withdrawal latency in Hargreaves' test (n = 7 per group). (</w:t>
      </w:r>
      <w:r w:rsidRPr="00987189">
        <w:rPr>
          <w:b/>
          <w:bCs/>
          <w:i/>
          <w:iCs/>
        </w:rPr>
        <w:t>B</w:t>
      </w:r>
      <w:r w:rsidRPr="00987189">
        <w:t xml:space="preserve">) The same cohort of mice showed the development of mechanical hypersensitivity in ipsilateral </w:t>
      </w:r>
      <w:proofErr w:type="spellStart"/>
      <w:r w:rsidRPr="00987189">
        <w:t>hindpaws</w:t>
      </w:r>
      <w:proofErr w:type="spellEnd"/>
      <w:r w:rsidRPr="00987189">
        <w:t xml:space="preserve"> for up to 6 days post-CFA injection. Systemic administration (</w:t>
      </w:r>
      <w:proofErr w:type="spellStart"/>
      <w:r w:rsidRPr="00987189">
        <w:t>i.p.</w:t>
      </w:r>
      <w:proofErr w:type="spellEnd"/>
      <w:r w:rsidRPr="00987189">
        <w:t xml:space="preserve">) of carprofen (5 mg/kg) led to complete attenuation of ipsilateral </w:t>
      </w:r>
      <w:proofErr w:type="spellStart"/>
      <w:r w:rsidRPr="00987189">
        <w:t>hindpaw</w:t>
      </w:r>
      <w:proofErr w:type="spellEnd"/>
      <w:r w:rsidRPr="00987189">
        <w:t xml:space="preserve"> mechanical hypersensitivity in CFA-injected mice. Mice were tested 2 h post saline/carprofen administration. Data are plotted as mean ± SEM of area </w:t>
      </w:r>
      <w:r w:rsidRPr="00987189">
        <w:lastRenderedPageBreak/>
        <w:t xml:space="preserve">under the curve calculated from von Frey filament strength – paw withdrawal response frequency curves for each mouse </w:t>
      </w:r>
      <w:proofErr w:type="spellStart"/>
      <w:r w:rsidRPr="00987189">
        <w:t>hindpaw</w:t>
      </w:r>
      <w:proofErr w:type="spellEnd"/>
      <w:r w:rsidRPr="00987189">
        <w:t xml:space="preserve"> (n = 7 per group). In both panels, * denotes </w:t>
      </w:r>
      <w:r w:rsidRPr="00987189">
        <w:rPr>
          <w:i/>
          <w:iCs/>
        </w:rPr>
        <w:t>p</w:t>
      </w:r>
      <w:r w:rsidRPr="00987189">
        <w:t> &lt; 0.05, ** denotes </w:t>
      </w:r>
      <w:r w:rsidRPr="00987189">
        <w:rPr>
          <w:i/>
          <w:iCs/>
        </w:rPr>
        <w:t>p</w:t>
      </w:r>
      <w:r w:rsidRPr="00987189">
        <w:t> &lt; 0.01 and *** denotes </w:t>
      </w:r>
      <w:r w:rsidRPr="00987189">
        <w:rPr>
          <w:i/>
          <w:iCs/>
        </w:rPr>
        <w:t>p</w:t>
      </w:r>
      <w:r w:rsidRPr="00987189">
        <w:t> &lt; 0.001 for CFA + saline and CFA + carprofen groups, compared to the respective time points in saline + carprofen group; and denotes </w:t>
      </w:r>
      <w:r w:rsidRPr="00987189">
        <w:rPr>
          <w:i/>
          <w:iCs/>
        </w:rPr>
        <w:t>p</w:t>
      </w:r>
      <w:r w:rsidRPr="00987189">
        <w:t> &lt; 0.001 for CFA + carprofen group, compared to the respective time point in CFA + saline group (two-way ANOVA with Bonferroni's post-hoc correction). Gray boxes in both panels denote vehicle/drug administration time points</w:t>
      </w:r>
      <w:r>
        <w:rPr>
          <w:rFonts w:hint="eastAsia"/>
        </w:rPr>
        <w:t>.</w:t>
      </w:r>
    </w:p>
    <w:p w14:paraId="17935B8E" w14:textId="77777777" w:rsidR="00987189" w:rsidRDefault="00987189" w:rsidP="00987189"/>
    <w:p w14:paraId="1608056F" w14:textId="77777777" w:rsidR="0000260D" w:rsidRDefault="0000260D" w:rsidP="00987189"/>
    <w:p w14:paraId="1B830483" w14:textId="77777777" w:rsidR="0000260D" w:rsidRPr="0000260D" w:rsidRDefault="0000260D" w:rsidP="0000260D">
      <w:r w:rsidRPr="0000260D">
        <w:t xml:space="preserve">Mechanical sensitivity with von </w:t>
      </w:r>
      <w:proofErr w:type="spellStart"/>
      <w:r w:rsidRPr="0000260D">
        <w:t>frey</w:t>
      </w:r>
      <w:proofErr w:type="spellEnd"/>
      <w:r w:rsidRPr="0000260D">
        <w:t xml:space="preserve"> filament testing</w:t>
      </w:r>
    </w:p>
    <w:p w14:paraId="0C50CA91" w14:textId="77777777" w:rsidR="0000260D" w:rsidRPr="0000260D" w:rsidRDefault="0000260D" w:rsidP="0000260D">
      <w:r w:rsidRPr="0000260D">
        <w:t xml:space="preserve">Mechanical sensitivity of mouse </w:t>
      </w:r>
      <w:proofErr w:type="spellStart"/>
      <w:r w:rsidRPr="0000260D">
        <w:t>hindpaws</w:t>
      </w:r>
      <w:proofErr w:type="spellEnd"/>
      <w:r w:rsidRPr="0000260D">
        <w:t xml:space="preserve"> was assessed as described in numerous prior reports (</w:t>
      </w:r>
      <w:bookmarkStart w:id="18" w:name="bbib37"/>
      <w:r w:rsidRPr="0000260D">
        <w:rPr>
          <w:rFonts w:hint="eastAsia"/>
        </w:rPr>
        <w:fldChar w:fldCharType="begin"/>
      </w:r>
      <w:r w:rsidRPr="0000260D">
        <w:rPr>
          <w:rFonts w:hint="eastAsia"/>
        </w:rPr>
        <w:instrText>HYPERLINK "https://www.sciencedirect.com/science/article/pii/S0028390817305658" \l "bib37"</w:instrText>
      </w:r>
      <w:r w:rsidRPr="0000260D">
        <w:rPr>
          <w:rFonts w:hint="eastAsia"/>
        </w:rPr>
        <w:fldChar w:fldCharType="separate"/>
      </w:r>
      <w:r w:rsidRPr="0000260D">
        <w:rPr>
          <w:rStyle w:val="a7"/>
        </w:rPr>
        <w:t>Mickle et al., 2015</w:t>
      </w:r>
      <w:r w:rsidRPr="0000260D">
        <w:rPr>
          <w:rFonts w:hint="eastAsia"/>
        </w:rPr>
        <w:fldChar w:fldCharType="end"/>
      </w:r>
      <w:r w:rsidRPr="0000260D">
        <w:t>). Animals were acclimated to the testing room and apparatus for 30 min each on the two days prior to the beginning of testing, as well as on each subsequent testing day. Mechanical sensitivity was assessed using 8 von Frey monofilaments of increasing thickness/strength (0.04–2 g; North Coast Medical Inc., Gilroy, CA). Each mouse was housed in a </w:t>
      </w:r>
      <w:hyperlink r:id="rId263" w:tooltip="Learn more about Plexiglas from ScienceDirect's AI-generated Topic Pages" w:history="1">
        <w:r w:rsidRPr="0000260D">
          <w:rPr>
            <w:rStyle w:val="a7"/>
          </w:rPr>
          <w:t>Plexiglas</w:t>
        </w:r>
      </w:hyperlink>
      <w:r w:rsidRPr="0000260D">
        <w:t> box on a wire mesh platform for 30 min prior to testing. Beginning with the </w:t>
      </w:r>
      <w:hyperlink r:id="rId264" w:tooltip="Learn more about thinnest filament from ScienceDirect's AI-generated Topic Pages" w:history="1">
        <w:r w:rsidRPr="0000260D">
          <w:rPr>
            <w:rStyle w:val="a7"/>
          </w:rPr>
          <w:t>thinnest filament</w:t>
        </w:r>
      </w:hyperlink>
      <w:r w:rsidRPr="0000260D">
        <w:t xml:space="preserve"> (0.04 g); each filament was presented to each </w:t>
      </w:r>
      <w:proofErr w:type="spellStart"/>
      <w:r w:rsidRPr="0000260D">
        <w:t>hindpaw</w:t>
      </w:r>
      <w:proofErr w:type="spellEnd"/>
      <w:r w:rsidRPr="0000260D">
        <w:t xml:space="preserve"> a total of five times. The filament was allowed to flex once making contact with the plantar surface of the </w:t>
      </w:r>
      <w:proofErr w:type="spellStart"/>
      <w:r w:rsidRPr="0000260D">
        <w:t>hindpaw</w:t>
      </w:r>
      <w:proofErr w:type="spellEnd"/>
      <w:r w:rsidRPr="0000260D">
        <w:t>, and held in place for 1 s. The interval between presentation of the filament was ≥5 s, or until </w:t>
      </w:r>
      <w:hyperlink r:id="rId265" w:tooltip="Learn more about behavior from ScienceDirect's AI-generated Topic Pages" w:history="1">
        <w:r w:rsidRPr="0000260D">
          <w:rPr>
            <w:rStyle w:val="a7"/>
          </w:rPr>
          <w:t>behavior</w:t>
        </w:r>
      </w:hyperlink>
      <w:r w:rsidRPr="0000260D">
        <w:t xml:space="preserve"> evoked by presentation of the filament had ceased. The number of withdrawal responses was recorded for each </w:t>
      </w:r>
      <w:proofErr w:type="spellStart"/>
      <w:r w:rsidRPr="0000260D">
        <w:t>hindpaw</w:t>
      </w:r>
      <w:proofErr w:type="spellEnd"/>
      <w:r w:rsidRPr="0000260D">
        <w:t xml:space="preserve"> across all 8 filaments (with a ≥5-min interval between testing of any one mouse with a particular filament). This filament-response plot was used to generate an area under the curve (AUC) value for each </w:t>
      </w:r>
      <w:proofErr w:type="spellStart"/>
      <w:r w:rsidRPr="0000260D">
        <w:t>hindpaw</w:t>
      </w:r>
      <w:proofErr w:type="spellEnd"/>
      <w:r w:rsidRPr="0000260D">
        <w:t>, as detailed earlier (</w:t>
      </w:r>
      <w:hyperlink r:id="rId266" w:anchor="bib37" w:history="1">
        <w:r w:rsidRPr="0000260D">
          <w:rPr>
            <w:rStyle w:val="a7"/>
          </w:rPr>
          <w:t>Mickle et al., 2015</w:t>
        </w:r>
      </w:hyperlink>
      <w:r w:rsidRPr="0000260D">
        <w:t>), and provides a total measure of paw withdrawal response sensitivity across the entire range of testing filaments.</w:t>
      </w:r>
    </w:p>
    <w:p w14:paraId="1277E044" w14:textId="77777777" w:rsidR="0000260D" w:rsidRPr="0000260D" w:rsidRDefault="0000260D" w:rsidP="0000260D">
      <w:r w:rsidRPr="0000260D">
        <w:t>2.6. Heat sensitivity testing with Hargreaves' procedure</w:t>
      </w:r>
    </w:p>
    <w:p w14:paraId="1BE33E0A" w14:textId="77777777" w:rsidR="0000260D" w:rsidRPr="0000260D" w:rsidRDefault="0000260D" w:rsidP="0000260D">
      <w:r w:rsidRPr="0000260D">
        <w:t xml:space="preserve">Thermal sensitivity of mouse </w:t>
      </w:r>
      <w:proofErr w:type="spellStart"/>
      <w:r w:rsidRPr="0000260D">
        <w:t>hindpaws</w:t>
      </w:r>
      <w:proofErr w:type="spellEnd"/>
      <w:r w:rsidRPr="0000260D">
        <w:t xml:space="preserve"> was assessed as described previously (</w:t>
      </w:r>
      <w:bookmarkStart w:id="19" w:name="bbib34"/>
      <w:r w:rsidRPr="0000260D">
        <w:rPr>
          <w:rFonts w:hint="eastAsia"/>
        </w:rPr>
        <w:fldChar w:fldCharType="begin"/>
      </w:r>
      <w:r w:rsidRPr="0000260D">
        <w:rPr>
          <w:rFonts w:hint="eastAsia"/>
        </w:rPr>
        <w:instrText>HYPERLINK "https://www.sciencedirect.com/science/article/pii/S0028390817305658" \l "bib34"</w:instrText>
      </w:r>
      <w:r w:rsidRPr="0000260D">
        <w:rPr>
          <w:rFonts w:hint="eastAsia"/>
        </w:rPr>
        <w:fldChar w:fldCharType="separate"/>
      </w:r>
      <w:r w:rsidRPr="0000260D">
        <w:rPr>
          <w:rStyle w:val="a7"/>
        </w:rPr>
        <w:t>Loo et al., 2012</w:t>
      </w:r>
      <w:r w:rsidRPr="0000260D">
        <w:rPr>
          <w:rFonts w:hint="eastAsia"/>
        </w:rPr>
        <w:fldChar w:fldCharType="end"/>
      </w:r>
      <w:bookmarkEnd w:id="19"/>
      <w:r w:rsidRPr="0000260D">
        <w:t>, </w:t>
      </w:r>
      <w:hyperlink r:id="rId267" w:anchor="bib37" w:history="1">
        <w:r w:rsidRPr="0000260D">
          <w:rPr>
            <w:rStyle w:val="a7"/>
          </w:rPr>
          <w:t>Mickle et al., 2015</w:t>
        </w:r>
      </w:hyperlink>
      <w:bookmarkEnd w:id="18"/>
      <w:r w:rsidRPr="0000260D">
        <w:t>). Animals were acclimated to the testing room and apparatus for 30 min each on the two days prior to the beginning of testing, as well as on each subsequent days of testing. Each mouse was placed inside single-occupancy </w:t>
      </w:r>
      <w:hyperlink r:id="rId268" w:tooltip="Learn more about Plexiglas from ScienceDirect's AI-generated Topic Pages" w:history="1">
        <w:r w:rsidRPr="0000260D">
          <w:rPr>
            <w:rStyle w:val="a7"/>
          </w:rPr>
          <w:t>Plexiglas</w:t>
        </w:r>
      </w:hyperlink>
      <w:r w:rsidRPr="0000260D">
        <w:t xml:space="preserve"> chambers placed on top of a raised pane of glass maintained at a constant thermo-neutral temperature (30 °C). The thermal sensitivity of each </w:t>
      </w:r>
      <w:proofErr w:type="spellStart"/>
      <w:r w:rsidRPr="0000260D">
        <w:t>hindpaw</w:t>
      </w:r>
      <w:proofErr w:type="spellEnd"/>
      <w:r w:rsidRPr="0000260D">
        <w:t xml:space="preserve"> was measured by focusing a beam of light from below, onto the plantar surface of the </w:t>
      </w:r>
      <w:proofErr w:type="spellStart"/>
      <w:r w:rsidRPr="0000260D">
        <w:t>hindpaw</w:t>
      </w:r>
      <w:proofErr w:type="spellEnd"/>
      <w:r w:rsidRPr="0000260D">
        <w:t xml:space="preserve"> (IITC Life Science Inc., Woodland Hills, CA). The latency to paw withdrawal from the heat source was recorded as paw withdrawal latency (PWL), measured in seconds. The light intensity is calibrated to elicit typical PWL values of 10–14 s in naïve mice. The beam of light automatically shuts off at 20 s, to avoid any potential </w:t>
      </w:r>
      <w:hyperlink r:id="rId269" w:tooltip="Learn more about tissue injury from ScienceDirect's AI-generated Topic Pages" w:history="1">
        <w:r w:rsidRPr="0000260D">
          <w:rPr>
            <w:rStyle w:val="a7"/>
          </w:rPr>
          <w:t>tissue injury</w:t>
        </w:r>
      </w:hyperlink>
      <w:r w:rsidRPr="0000260D">
        <w:t xml:space="preserve"> due to overheating. If a </w:t>
      </w:r>
      <w:proofErr w:type="spellStart"/>
      <w:r w:rsidRPr="0000260D">
        <w:t>hindpaw</w:t>
      </w:r>
      <w:proofErr w:type="spellEnd"/>
      <w:r w:rsidRPr="0000260D">
        <w:t xml:space="preserve"> was not withdrawn within 20 s, a PWL value of 20 s was assigned. The mean of two PWL values, recorded ≥5 min apart for each </w:t>
      </w:r>
      <w:proofErr w:type="spellStart"/>
      <w:r w:rsidRPr="0000260D">
        <w:t>hindpaw</w:t>
      </w:r>
      <w:proofErr w:type="spellEnd"/>
      <w:r w:rsidRPr="0000260D">
        <w:t>, are used for analysis.</w:t>
      </w:r>
    </w:p>
    <w:p w14:paraId="77CFB4FC" w14:textId="77777777" w:rsidR="0000260D" w:rsidRPr="0000260D" w:rsidRDefault="0000260D" w:rsidP="0000260D">
      <w:r w:rsidRPr="0000260D">
        <w:t>2.7. Mechanical conflict-avoidance (MCA) assay</w:t>
      </w:r>
    </w:p>
    <w:p w14:paraId="765F1FF4" w14:textId="77777777" w:rsidR="0000260D" w:rsidRPr="0000260D" w:rsidRDefault="0000260D" w:rsidP="0000260D">
      <w:r w:rsidRPr="0000260D">
        <w:t>Voluntary mechanical conflict-avoidance was assessed using a variation of a recently-described Coy mechanical conflict-avoidance system approach (</w:t>
      </w:r>
      <w:bookmarkStart w:id="20" w:name="bbib24"/>
      <w:r w:rsidRPr="0000260D">
        <w:rPr>
          <w:rFonts w:hint="eastAsia"/>
        </w:rPr>
        <w:fldChar w:fldCharType="begin"/>
      </w:r>
      <w:r w:rsidRPr="0000260D">
        <w:rPr>
          <w:rFonts w:hint="eastAsia"/>
        </w:rPr>
        <w:instrText>HYPERLINK "https://www.sciencedirect.com/science/article/pii/S0028390817305658" \l "bib24"</w:instrText>
      </w:r>
      <w:r w:rsidRPr="0000260D">
        <w:rPr>
          <w:rFonts w:hint="eastAsia"/>
        </w:rPr>
        <w:fldChar w:fldCharType="separate"/>
      </w:r>
      <w:r w:rsidRPr="0000260D">
        <w:rPr>
          <w:rStyle w:val="a7"/>
        </w:rPr>
        <w:t>Harte et al., 2016</w:t>
      </w:r>
      <w:r w:rsidRPr="0000260D">
        <w:rPr>
          <w:rFonts w:hint="eastAsia"/>
        </w:rPr>
        <w:fldChar w:fldCharType="end"/>
      </w:r>
      <w:bookmarkEnd w:id="20"/>
      <w:r w:rsidRPr="0000260D">
        <w:t>), which is itself a modification of the place escape/avoidance paradigm (</w:t>
      </w:r>
      <w:bookmarkStart w:id="21" w:name="bbib30"/>
      <w:proofErr w:type="spellStart"/>
      <w:r w:rsidRPr="0000260D">
        <w:rPr>
          <w:rFonts w:hint="eastAsia"/>
        </w:rPr>
        <w:fldChar w:fldCharType="begin"/>
      </w:r>
      <w:r w:rsidRPr="0000260D">
        <w:rPr>
          <w:rFonts w:hint="eastAsia"/>
        </w:rPr>
        <w:instrText>HYPERLINK "https://www.sciencedirect.com/science/article/pii/S0028390817305658" \l "bib30"</w:instrText>
      </w:r>
      <w:r w:rsidRPr="0000260D">
        <w:rPr>
          <w:rFonts w:hint="eastAsia"/>
        </w:rPr>
        <w:fldChar w:fldCharType="separate"/>
      </w:r>
      <w:r w:rsidRPr="0000260D">
        <w:rPr>
          <w:rStyle w:val="a7"/>
        </w:rPr>
        <w:t>LaBuda</w:t>
      </w:r>
      <w:proofErr w:type="spellEnd"/>
      <w:r w:rsidRPr="0000260D">
        <w:rPr>
          <w:rStyle w:val="a7"/>
        </w:rPr>
        <w:t xml:space="preserve"> and Fuchs, 2000a</w:t>
      </w:r>
      <w:r w:rsidRPr="0000260D">
        <w:rPr>
          <w:rFonts w:hint="eastAsia"/>
        </w:rPr>
        <w:fldChar w:fldCharType="end"/>
      </w:r>
      <w:bookmarkEnd w:id="21"/>
      <w:r w:rsidRPr="0000260D">
        <w:t>, </w:t>
      </w:r>
      <w:bookmarkStart w:id="22" w:name="bbib31"/>
      <w:proofErr w:type="spellStart"/>
      <w:r w:rsidRPr="0000260D">
        <w:rPr>
          <w:rFonts w:hint="eastAsia"/>
        </w:rPr>
        <w:fldChar w:fldCharType="begin"/>
      </w:r>
      <w:r w:rsidRPr="0000260D">
        <w:rPr>
          <w:rFonts w:hint="eastAsia"/>
        </w:rPr>
        <w:instrText>HYPERLINK "https://www.sciencedirect.com/science/article/pii/S0028390817305658" \l "bib31"</w:instrText>
      </w:r>
      <w:r w:rsidRPr="0000260D">
        <w:rPr>
          <w:rFonts w:hint="eastAsia"/>
        </w:rPr>
        <w:fldChar w:fldCharType="separate"/>
      </w:r>
      <w:r w:rsidRPr="0000260D">
        <w:rPr>
          <w:rStyle w:val="a7"/>
        </w:rPr>
        <w:t>LaBuda</w:t>
      </w:r>
      <w:proofErr w:type="spellEnd"/>
      <w:r w:rsidRPr="0000260D">
        <w:rPr>
          <w:rStyle w:val="a7"/>
        </w:rPr>
        <w:t xml:space="preserve"> and Fuchs, 2000b</w:t>
      </w:r>
      <w:r w:rsidRPr="0000260D">
        <w:rPr>
          <w:rFonts w:hint="eastAsia"/>
        </w:rPr>
        <w:fldChar w:fldCharType="end"/>
      </w:r>
      <w:bookmarkEnd w:id="22"/>
      <w:r w:rsidRPr="0000260D">
        <w:t xml:space="preserve">). The MCA apparatus consists of three chambers, the details </w:t>
      </w:r>
      <w:r w:rsidRPr="0000260D">
        <w:lastRenderedPageBreak/>
        <w:t>of which are depicted in the </w:t>
      </w:r>
      <w:bookmarkStart w:id="23" w:name="bappsec1"/>
      <w:r w:rsidRPr="0000260D">
        <w:rPr>
          <w:rFonts w:hint="eastAsia"/>
        </w:rPr>
        <w:fldChar w:fldCharType="begin"/>
      </w:r>
      <w:r w:rsidRPr="0000260D">
        <w:rPr>
          <w:rFonts w:hint="eastAsia"/>
        </w:rPr>
        <w:instrText>HYPERLINK "https://www.sciencedirect.com/science/article/pii/S0028390817305658" \l "appsec1"</w:instrText>
      </w:r>
      <w:r w:rsidRPr="0000260D">
        <w:rPr>
          <w:rFonts w:hint="eastAsia"/>
        </w:rPr>
        <w:fldChar w:fldCharType="separate"/>
      </w:r>
      <w:r w:rsidRPr="0000260D">
        <w:rPr>
          <w:rStyle w:val="a7"/>
        </w:rPr>
        <w:t>Supplementary Fig. S1</w:t>
      </w:r>
      <w:r w:rsidRPr="0000260D">
        <w:rPr>
          <w:rFonts w:hint="eastAsia"/>
        </w:rPr>
        <w:fldChar w:fldCharType="end"/>
      </w:r>
      <w:r w:rsidRPr="0000260D">
        <w:t>. If necessary, the authors can be contacted for further details regarding fabrication. Chamber-1 is a 12.5 cm</w:t>
      </w:r>
      <w:r w:rsidRPr="0000260D">
        <w:rPr>
          <w:vertAlign w:val="superscript"/>
        </w:rPr>
        <w:t>3</w:t>
      </w:r>
      <w:r w:rsidRPr="0000260D">
        <w:t> white Plexiglas box lit from above with white light emitting diodes (LEDs). The LEDs provide an illuminance of approximately 4800 lux, serving as a mildly aversive stimulus in order to encourage mouse ‘escape’ into the unlit chambers. This white-lit chamber is separated from the rest of the unit by a movable barrier. Chamber-2 is the 27 cm-long mechanical conflict test chamber (unlit red Plexiglas) connecting chambers 1 and 3. Chamber-3 is a 12.5 cm</w:t>
      </w:r>
      <w:r w:rsidRPr="0000260D">
        <w:rPr>
          <w:vertAlign w:val="superscript"/>
        </w:rPr>
        <w:t>3</w:t>
      </w:r>
      <w:r w:rsidRPr="0000260D">
        <w:t xml:space="preserve"> translucent red Plexiglas box (unlit) at the opposite end to chamber-1. The floor of the central conflict test chamber is fitted with an adjustable 13 × 31 grid of blunt </w:t>
      </w:r>
      <w:r w:rsidRPr="0000260D">
        <w:rPr>
          <w:rFonts w:ascii="Cambria Math" w:hAnsi="Cambria Math" w:cs="Cambria Math"/>
        </w:rPr>
        <w:t>∼</w:t>
      </w:r>
      <w:r w:rsidRPr="0000260D">
        <w:t>0.5</w:t>
      </w:r>
      <w:r w:rsidRPr="0000260D">
        <w:rPr>
          <w:rFonts w:ascii="等线" w:eastAsia="等线" w:hAnsi="等线" w:cs="等线" w:hint="eastAsia"/>
        </w:rPr>
        <w:t> </w:t>
      </w:r>
      <w:r w:rsidRPr="0000260D">
        <w:t>mm diameter probes, the effective height of which can be adjusted from 0 to 5</w:t>
      </w:r>
      <w:r w:rsidRPr="0000260D">
        <w:rPr>
          <w:rFonts w:ascii="等线" w:eastAsia="等线" w:hAnsi="等线" w:cs="等线" w:hint="eastAsia"/>
        </w:rPr>
        <w:t> </w:t>
      </w:r>
      <w:r w:rsidRPr="0000260D">
        <w:t>mm within the chamber. Mice were acclimated to the MCA unit for 5</w:t>
      </w:r>
      <w:r w:rsidRPr="0000260D">
        <w:rPr>
          <w:rFonts w:ascii="等线" w:eastAsia="等线" w:hAnsi="等线" w:cs="等线" w:hint="eastAsia"/>
        </w:rPr>
        <w:t> </w:t>
      </w:r>
      <w:r w:rsidRPr="0000260D">
        <w:t>min on the day of testing with the LEDs switched off, the barrier door open and the mechanical probe height set to zero. For testing, mice were placed into chamber 1 with the barrier to the rest of the unit in position. The LEDs were switched on after 10 s, and the barrier was removed 20 s thereafter. The behavior of each mouse, starting from introduction into chamber 1, until the mouse crossed the halfway point of chamber 2, was monitored by videotaping. There were two main reasons why we chose to use crossing the midpoint of chamber-2 as our experimental outcome measure. First, in our preliminary assessments 3 of 24 mice tested returned to chamber-1 before crossing the midpoint of chamber-2 during the 120 s cutoff, and were eliminated from subsequent testing. All remaining mice completed crossing the chamber-2 after crossing its midpoint. Second, we observed that mice varied the speed at which they crossed the conflict chamber, presumably because of the aversive nature of the mechanical stimulus. Despite this, the values obtained when using entry into chamber 3 as the endpoint (i.e. completing the crossing of chamber-2) show very similar data to that shown in </w:t>
      </w:r>
      <w:bookmarkStart w:id="24" w:name="bfig6"/>
      <w:r w:rsidRPr="0000260D">
        <w:rPr>
          <w:rFonts w:hint="eastAsia"/>
        </w:rPr>
        <w:fldChar w:fldCharType="begin"/>
      </w:r>
      <w:r w:rsidRPr="0000260D">
        <w:rPr>
          <w:rFonts w:hint="eastAsia"/>
        </w:rPr>
        <w:instrText>HYPERLINK "https://www.sciencedirect.com/science/article/pii/S0028390817305658" \l "fig6"</w:instrText>
      </w:r>
      <w:r w:rsidRPr="0000260D">
        <w:rPr>
          <w:rFonts w:hint="eastAsia"/>
        </w:rPr>
        <w:fldChar w:fldCharType="separate"/>
      </w:r>
      <w:r w:rsidRPr="0000260D">
        <w:rPr>
          <w:rStyle w:val="a7"/>
        </w:rPr>
        <w:t>Fig. 6</w:t>
      </w:r>
      <w:r w:rsidRPr="0000260D">
        <w:rPr>
          <w:rFonts w:hint="eastAsia"/>
        </w:rPr>
        <w:fldChar w:fldCharType="end"/>
      </w:r>
      <w:bookmarkEnd w:id="24"/>
      <w:r w:rsidRPr="0000260D">
        <w:t>C (</w:t>
      </w:r>
      <w:hyperlink r:id="rId270" w:anchor="appsec1" w:history="1">
        <w:r w:rsidRPr="0000260D">
          <w:rPr>
            <w:rStyle w:val="a7"/>
          </w:rPr>
          <w:t>Supplementary Fig. S6B</w:t>
        </w:r>
      </w:hyperlink>
      <w:bookmarkEnd w:id="23"/>
      <w:r w:rsidRPr="0000260D">
        <w:t>), suggesting that either measure is a useful readout of mechanical conflict-avoidance. Therefore, the duration between the barrier opening and the mouse crossing the midpoint of chamber-2 was quantified and expressed as ‘escape latency.’ After running all mice in a particular cohort at a probe height of 0 mm, the process was repeated with the probe height set to 2 mm, and finally 5 mm.</w:t>
      </w:r>
    </w:p>
    <w:p w14:paraId="36B854E3" w14:textId="4CC537A9" w:rsidR="0000260D" w:rsidRDefault="0000260D">
      <w:pPr>
        <w:widowControl/>
        <w:jc w:val="left"/>
      </w:pPr>
      <w:r>
        <w:rPr>
          <w:rFonts w:hint="eastAsia"/>
        </w:rPr>
        <w:br w:type="page"/>
      </w:r>
    </w:p>
    <w:p w14:paraId="44F51B0C" w14:textId="296E0942" w:rsidR="00987189" w:rsidRDefault="00A75605" w:rsidP="00987189">
      <w:r>
        <w:rPr>
          <w:rFonts w:hint="eastAsia"/>
        </w:rPr>
        <w:lastRenderedPageBreak/>
        <w:t>38.</w:t>
      </w:r>
      <w:hyperlink r:id="rId271" w:history="1">
        <w:r w:rsidR="0000260D" w:rsidRPr="0000260D">
          <w:rPr>
            <w:rStyle w:val="a7"/>
          </w:rPr>
          <w:t>Further observations on the behavioral and neural effects of bone marrow stromal cells in rodent pain models - PMC</w:t>
        </w:r>
      </w:hyperlink>
    </w:p>
    <w:p w14:paraId="374D15EE" w14:textId="77777777" w:rsidR="0000260D" w:rsidRDefault="0000260D" w:rsidP="00987189"/>
    <w:p w14:paraId="71AF37E6" w14:textId="77777777" w:rsidR="0000260D" w:rsidRPr="0000260D" w:rsidRDefault="0000260D" w:rsidP="0000260D">
      <w:pPr>
        <w:rPr>
          <w:b/>
          <w:bCs/>
        </w:rPr>
      </w:pPr>
      <w:r w:rsidRPr="0000260D">
        <w:rPr>
          <w:rFonts w:hint="eastAsia"/>
          <w:b/>
          <w:bCs/>
        </w:rPr>
        <w:t>Further observations on the behavioral and neural effects of bone marrow stromal cells in rodent pain models</w:t>
      </w:r>
    </w:p>
    <w:p w14:paraId="2DF7F0EA" w14:textId="6A0058D4" w:rsidR="0000260D" w:rsidRDefault="0000260D" w:rsidP="0000260D">
      <w:r>
        <w:rPr>
          <w:rFonts w:hint="eastAsia"/>
        </w:rPr>
        <w:t xml:space="preserve">Wei Guo 1, Yu-Xia Chu 1,2, Satoshi Imai 1,3, Jia-Le Yang 1, </w:t>
      </w:r>
      <w:proofErr w:type="spellStart"/>
      <w:r>
        <w:rPr>
          <w:rFonts w:hint="eastAsia"/>
        </w:rPr>
        <w:t>Shiping</w:t>
      </w:r>
      <w:proofErr w:type="spellEnd"/>
      <w:r>
        <w:rPr>
          <w:rFonts w:hint="eastAsia"/>
        </w:rPr>
        <w:t xml:space="preserve"> Zou 1, Zaid Mohammad 1, Feng Wei 1, Ronald Dubner 1, </w:t>
      </w:r>
      <w:proofErr w:type="spellStart"/>
      <w:r>
        <w:rPr>
          <w:rFonts w:hint="eastAsia"/>
        </w:rPr>
        <w:t>Ke</w:t>
      </w:r>
      <w:proofErr w:type="spellEnd"/>
      <w:r>
        <w:rPr>
          <w:rFonts w:hint="eastAsia"/>
        </w:rPr>
        <w:t xml:space="preserve"> Ren</w:t>
      </w:r>
    </w:p>
    <w:p w14:paraId="32D7C718" w14:textId="21BD6A91" w:rsidR="00402A48" w:rsidRDefault="00402A48" w:rsidP="0000260D">
      <w:r>
        <w:rPr>
          <w:rFonts w:hint="eastAsia"/>
          <w:noProof/>
        </w:rPr>
        <w:drawing>
          <wp:inline distT="0" distB="0" distL="0" distR="0" wp14:anchorId="66367C2D" wp14:editId="5446C71B">
            <wp:extent cx="6044871" cy="5468406"/>
            <wp:effectExtent l="0" t="0" r="0" b="0"/>
            <wp:docPr id="3932523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050434" cy="5473438"/>
                    </a:xfrm>
                    <a:prstGeom prst="rect">
                      <a:avLst/>
                    </a:prstGeom>
                    <a:noFill/>
                  </pic:spPr>
                </pic:pic>
              </a:graphicData>
            </a:graphic>
          </wp:inline>
        </w:drawing>
      </w:r>
    </w:p>
    <w:p w14:paraId="7DD0E154" w14:textId="4B44126E" w:rsidR="00402A48" w:rsidRDefault="00402A48" w:rsidP="0000260D">
      <w:r w:rsidRPr="00402A48">
        <w:t>Effects of human BMSCs (</w:t>
      </w:r>
      <w:proofErr w:type="spellStart"/>
      <w:r w:rsidRPr="00402A48">
        <w:t>hBMSC</w:t>
      </w:r>
      <w:proofErr w:type="spellEnd"/>
      <w:r w:rsidRPr="00402A48">
        <w:t xml:space="preserve">) on neuropathic pain. (a) L5 spinal nerve injury (SNL) was produced in male rats. Mechanical sensitivity was assessed with an electronic von Frey unit. Primary </w:t>
      </w:r>
      <w:proofErr w:type="spellStart"/>
      <w:r w:rsidRPr="00402A48">
        <w:t>hBMSCs</w:t>
      </w:r>
      <w:proofErr w:type="spellEnd"/>
      <w:r w:rsidRPr="00402A48">
        <w:t xml:space="preserve"> were infused </w:t>
      </w:r>
      <w:proofErr w:type="spellStart"/>
      <w:r w:rsidRPr="00402A48">
        <w:t>i.v.</w:t>
      </w:r>
      <w:proofErr w:type="spellEnd"/>
      <w:r w:rsidRPr="00402A48">
        <w:t xml:space="preserve"> at 0.2</w:t>
      </w:r>
      <w:r w:rsidRPr="00402A48">
        <w:rPr>
          <w:rFonts w:ascii="MS Gothic" w:eastAsia="MS Gothic" w:hAnsi="MS Gothic" w:cs="MS Gothic" w:hint="eastAsia"/>
        </w:rPr>
        <w:t> </w:t>
      </w:r>
      <w:r w:rsidRPr="00402A48">
        <w:t>ml with 1.5</w:t>
      </w:r>
      <w:r w:rsidRPr="00402A48">
        <w:rPr>
          <w:rFonts w:ascii="MS Gothic" w:eastAsia="MS Gothic" w:hAnsi="MS Gothic" w:cs="MS Gothic" w:hint="eastAsia"/>
        </w:rPr>
        <w:t> </w:t>
      </w:r>
      <w:r w:rsidRPr="00402A48">
        <w:t>M cells at 7</w:t>
      </w:r>
      <w:r w:rsidRPr="00402A48">
        <w:rPr>
          <w:rFonts w:ascii="MS Gothic" w:eastAsia="MS Gothic" w:hAnsi="MS Gothic" w:cs="MS Gothic" w:hint="eastAsia"/>
        </w:rPr>
        <w:t> </w:t>
      </w:r>
      <w:r w:rsidRPr="00402A48">
        <w:t xml:space="preserve">days after SNL. Compared to medium control, the mechanical </w:t>
      </w:r>
      <w:proofErr w:type="spellStart"/>
      <w:r w:rsidRPr="00402A48">
        <w:t>nocifensive</w:t>
      </w:r>
      <w:proofErr w:type="spellEnd"/>
      <w:r w:rsidRPr="00402A48">
        <w:t xml:space="preserve"> response threshold (</w:t>
      </w:r>
      <w:proofErr w:type="spellStart"/>
      <w:r w:rsidRPr="00402A48">
        <w:t>Ipsi</w:t>
      </w:r>
      <w:proofErr w:type="spellEnd"/>
      <w:r w:rsidRPr="00402A48">
        <w:t xml:space="preserve">) of BMSC-treated rats was increased, indicating attenuation of hyperalgesia. (b) Thermal </w:t>
      </w:r>
      <w:proofErr w:type="spellStart"/>
      <w:r w:rsidRPr="00402A48">
        <w:t>nocifensive</w:t>
      </w:r>
      <w:proofErr w:type="spellEnd"/>
      <w:r w:rsidRPr="00402A48">
        <w:t xml:space="preserve"> responses, expressed by paw withdrawal latency (PWL) to a noxious thermal stimulus, of SNL rats were inhibited in </w:t>
      </w:r>
      <w:proofErr w:type="spellStart"/>
      <w:r w:rsidRPr="00402A48">
        <w:t>hBMSC</w:t>
      </w:r>
      <w:proofErr w:type="spellEnd"/>
      <w:r w:rsidRPr="00402A48">
        <w:t>-treated rats, indicating attenuation of thermal hyperalgesia. ***, </w:t>
      </w:r>
      <w:r w:rsidRPr="00402A48">
        <w:rPr>
          <w:i/>
          <w:iCs/>
        </w:rPr>
        <w:t>p</w:t>
      </w:r>
      <w:r w:rsidRPr="00402A48">
        <w:rPr>
          <w:rFonts w:ascii="MS Gothic" w:eastAsia="MS Gothic" w:hAnsi="MS Gothic" w:cs="MS Gothic" w:hint="eastAsia"/>
        </w:rPr>
        <w:t> </w:t>
      </w:r>
      <w:r w:rsidRPr="00402A48">
        <w:t>&lt;</w:t>
      </w:r>
      <w:r w:rsidRPr="00402A48">
        <w:rPr>
          <w:rFonts w:ascii="MS Gothic" w:eastAsia="MS Gothic" w:hAnsi="MS Gothic" w:cs="MS Gothic" w:hint="eastAsia"/>
        </w:rPr>
        <w:t> </w:t>
      </w:r>
      <w:r w:rsidRPr="00402A48">
        <w:t xml:space="preserve">0.001, versus Medium, ANOVA with post-hoc comparisons. (c) The effects of </w:t>
      </w:r>
      <w:proofErr w:type="spellStart"/>
      <w:r w:rsidRPr="00402A48">
        <w:t>hBMSCs</w:t>
      </w:r>
      <w:proofErr w:type="spellEnd"/>
      <w:r w:rsidRPr="00402A48">
        <w:t xml:space="preserve"> and rat BMSCs (</w:t>
      </w:r>
      <w:proofErr w:type="spellStart"/>
      <w:r w:rsidRPr="00402A48">
        <w:t>rBMSCs</w:t>
      </w:r>
      <w:proofErr w:type="spellEnd"/>
      <w:r w:rsidRPr="00402A48">
        <w:t>) on SNL-induced aversive behavior. Compared to na</w:t>
      </w:r>
      <w:r w:rsidRPr="00402A48">
        <w:rPr>
          <w:rFonts w:ascii="等线" w:eastAsia="等线" w:hAnsi="等线" w:cs="等线" w:hint="eastAsia"/>
        </w:rPr>
        <w:t>ï</w:t>
      </w:r>
      <w:r w:rsidRPr="00402A48">
        <w:t xml:space="preserve">ve rats, the percentage </w:t>
      </w:r>
      <w:r w:rsidRPr="00402A48">
        <w:lastRenderedPageBreak/>
        <w:t xml:space="preserve">of time spent within the light area was increased after SNL in medium-treated rats. Infusion of BMSCs resulted in a reduction of SNL-induced aversive </w:t>
      </w:r>
      <w:proofErr w:type="spellStart"/>
      <w:r w:rsidRPr="00402A48">
        <w:t>behaviour</w:t>
      </w:r>
      <w:proofErr w:type="spellEnd"/>
      <w:r w:rsidRPr="00402A48">
        <w:t>, indicated by a decrease in time spent in the light chamber. ***,</w:t>
      </w:r>
      <w:r w:rsidRPr="00402A48">
        <w:rPr>
          <w:rFonts w:ascii="等线" w:eastAsia="等线" w:hAnsi="等线" w:cs="等线" w:hint="eastAsia"/>
        </w:rPr>
        <w:t> </w:t>
      </w:r>
      <w:r w:rsidRPr="00402A48">
        <w:rPr>
          <w:i/>
          <w:iCs/>
        </w:rPr>
        <w:t>p</w:t>
      </w:r>
      <w:r w:rsidRPr="00402A48">
        <w:rPr>
          <w:rFonts w:ascii="MS Gothic" w:eastAsia="MS Gothic" w:hAnsi="MS Gothic" w:cs="MS Gothic" w:hint="eastAsia"/>
        </w:rPr>
        <w:t> </w:t>
      </w:r>
      <w:r w:rsidRPr="00402A48">
        <w:t>&lt;</w:t>
      </w:r>
      <w:r w:rsidRPr="00402A48">
        <w:rPr>
          <w:rFonts w:ascii="MS Gothic" w:eastAsia="MS Gothic" w:hAnsi="MS Gothic" w:cs="MS Gothic" w:hint="eastAsia"/>
        </w:rPr>
        <w:t> </w:t>
      </w:r>
      <w:r w:rsidRPr="00402A48">
        <w:t>0.001, versus Medium.</w:t>
      </w:r>
      <w:r w:rsidRPr="00402A48">
        <w:rPr>
          <w:rFonts w:ascii="等线" w:eastAsia="等线" w:hAnsi="等线" w:cs="等线" w:hint="eastAsia"/>
        </w:rPr>
        <w:t> </w:t>
      </w:r>
      <w:r w:rsidRPr="00402A48">
        <w:rPr>
          <w:vertAlign w:val="superscript"/>
        </w:rPr>
        <w:t>###</w:t>
      </w:r>
      <w:r w:rsidRPr="00402A48">
        <w:t>, </w:t>
      </w:r>
      <w:r w:rsidRPr="00402A48">
        <w:rPr>
          <w:i/>
          <w:iCs/>
        </w:rPr>
        <w:t>p</w:t>
      </w:r>
      <w:r w:rsidRPr="00402A48">
        <w:rPr>
          <w:rFonts w:ascii="MS Gothic" w:eastAsia="MS Gothic" w:hAnsi="MS Gothic" w:cs="MS Gothic" w:hint="eastAsia"/>
        </w:rPr>
        <w:t> </w:t>
      </w:r>
      <w:r w:rsidRPr="00402A48">
        <w:t>&lt;</w:t>
      </w:r>
      <w:r w:rsidRPr="00402A48">
        <w:rPr>
          <w:rFonts w:ascii="MS Gothic" w:eastAsia="MS Gothic" w:hAnsi="MS Gothic" w:cs="MS Gothic" w:hint="eastAsia"/>
        </w:rPr>
        <w:t> </w:t>
      </w:r>
      <w:r w:rsidRPr="00402A48">
        <w:t>0.001, versus na</w:t>
      </w:r>
      <w:r w:rsidRPr="00402A48">
        <w:rPr>
          <w:rFonts w:ascii="等线" w:eastAsia="等线" w:hAnsi="等线" w:cs="等线" w:hint="eastAsia"/>
        </w:rPr>
        <w:t>ï</w:t>
      </w:r>
      <w:r w:rsidRPr="00402A48">
        <w:t>ve. Error bars are SEM.</w:t>
      </w:r>
    </w:p>
    <w:p w14:paraId="6ED98C0E" w14:textId="77777777" w:rsidR="00402A48" w:rsidRDefault="00402A48" w:rsidP="0000260D"/>
    <w:p w14:paraId="431C502B" w14:textId="77777777" w:rsidR="00402A48" w:rsidRDefault="00402A48" w:rsidP="0000260D"/>
    <w:p w14:paraId="5E82E69A" w14:textId="77777777" w:rsidR="00402A48" w:rsidRPr="00402A48" w:rsidRDefault="00402A48" w:rsidP="00402A48">
      <w:r w:rsidRPr="00402A48">
        <w:t>Behavioral testing</w:t>
      </w:r>
    </w:p>
    <w:p w14:paraId="5ED580E1" w14:textId="77777777" w:rsidR="00402A48" w:rsidRPr="00402A48" w:rsidRDefault="00402A48" w:rsidP="00402A48">
      <w:r w:rsidRPr="00402A48">
        <w:t>All behavioral tests were conducted under blind conditions. Mechanical sensitivity of the orofacial region was assessed as described.</w:t>
      </w:r>
      <w:hyperlink r:id="rId273" w:anchor="bibr14-1744806916658043" w:history="1">
        <w:r w:rsidRPr="00402A48">
          <w:rPr>
            <w:rStyle w:val="a7"/>
            <w:vertAlign w:val="superscript"/>
          </w:rPr>
          <w:t>14</w:t>
        </w:r>
      </w:hyperlink>
      <w:r w:rsidRPr="00402A48">
        <w:rPr>
          <w:vertAlign w:val="superscript"/>
        </w:rPr>
        <w:t>,</w:t>
      </w:r>
      <w:hyperlink r:id="rId274" w:anchor="bibr19-1744806916658043" w:history="1">
        <w:r w:rsidRPr="00402A48">
          <w:rPr>
            <w:rStyle w:val="a7"/>
            <w:vertAlign w:val="superscript"/>
          </w:rPr>
          <w:t>19</w:t>
        </w:r>
      </w:hyperlink>
      <w:r w:rsidRPr="00402A48">
        <w:t> A series of calibrated von Frey filaments were applied to the skin above the injured tendon or the corresponding contralateral side. An active withdrawal of the head from the probing filament was defined as a response. Each von Frey filament was applied five times at intervals of 5–10 seconds. The response frequencies [(number of responses/number of stimuli)</w:t>
      </w:r>
      <w:r w:rsidRPr="00402A48">
        <w:rPr>
          <w:rFonts w:ascii="MS Gothic" w:eastAsia="MS Gothic" w:hAnsi="MS Gothic" w:cs="MS Gothic" w:hint="eastAsia"/>
        </w:rPr>
        <w:t> </w:t>
      </w:r>
      <w:r w:rsidRPr="00402A48">
        <w:rPr>
          <w:rFonts w:ascii="等线" w:eastAsia="等线" w:hAnsi="等线" w:cs="等线" w:hint="eastAsia"/>
        </w:rPr>
        <w:t>×</w:t>
      </w:r>
      <w:r w:rsidRPr="00402A48">
        <w:rPr>
          <w:rFonts w:ascii="MS Gothic" w:eastAsia="MS Gothic" w:hAnsi="MS Gothic" w:cs="MS Gothic" w:hint="eastAsia"/>
        </w:rPr>
        <w:t> </w:t>
      </w:r>
      <w:r w:rsidRPr="00402A48">
        <w:t>100%] to a range of von Frey filament forces were determined, and a stimulus-response frequency (S-R) curve was plotted. After a non-linear regression analysis, an EF</w:t>
      </w:r>
      <w:r w:rsidRPr="00402A48">
        <w:rPr>
          <w:vertAlign w:val="subscript"/>
        </w:rPr>
        <w:t>50</w:t>
      </w:r>
      <w:r w:rsidRPr="00402A48">
        <w:t> value, defined as the effective von Frey filament force (g) that produces a 50% response frequency, was derived from the S-R curve (Prism, GraphPad).</w:t>
      </w:r>
      <w:hyperlink r:id="rId275" w:anchor="bibr20-1744806916658043" w:history="1">
        <w:r w:rsidRPr="00402A48">
          <w:rPr>
            <w:rStyle w:val="a7"/>
            <w:vertAlign w:val="superscript"/>
          </w:rPr>
          <w:t>20</w:t>
        </w:r>
      </w:hyperlink>
      <w:r w:rsidRPr="00402A48">
        <w:t> A leftward shift of the S-R curve, resulting in a reduction of EF</w:t>
      </w:r>
      <w:r w:rsidRPr="00402A48">
        <w:rPr>
          <w:vertAlign w:val="subscript"/>
        </w:rPr>
        <w:t>50</w:t>
      </w:r>
      <w:r w:rsidRPr="00402A48">
        <w:t xml:space="preserve">, occurred after TL or CCI-ION. This shift of the curve suggests the development of mechanical hypersensitivity or presence of mechanical hyperalgesia and allodynia since there was an increase in response to suprathreshold stimuli and a decreased response threshold for </w:t>
      </w:r>
      <w:proofErr w:type="spellStart"/>
      <w:r w:rsidRPr="00402A48">
        <w:t>nocifensive</w:t>
      </w:r>
      <w:proofErr w:type="spellEnd"/>
      <w:r w:rsidRPr="00402A48">
        <w:t xml:space="preserve"> behavior.</w:t>
      </w:r>
    </w:p>
    <w:p w14:paraId="3FBE16E6" w14:textId="77777777" w:rsidR="00402A48" w:rsidRPr="00402A48" w:rsidRDefault="00402A48" w:rsidP="00402A48">
      <w:r w:rsidRPr="00402A48">
        <w:t xml:space="preserve">For the hind paw </w:t>
      </w:r>
      <w:proofErr w:type="spellStart"/>
      <w:r w:rsidRPr="00402A48">
        <w:t>nocifensive</w:t>
      </w:r>
      <w:proofErr w:type="spellEnd"/>
      <w:r w:rsidRPr="00402A48">
        <w:t xml:space="preserve"> behavioral test, an electronic von Frey unit (EVF3, </w:t>
      </w:r>
      <w:proofErr w:type="spellStart"/>
      <w:r w:rsidRPr="00402A48">
        <w:t>Bioseb</w:t>
      </w:r>
      <w:proofErr w:type="spellEnd"/>
      <w:r w:rsidRPr="00402A48">
        <w:t>) was used to assess mechanical sensitivity according to Ren.</w:t>
      </w:r>
      <w:hyperlink r:id="rId276" w:anchor="bibr19-1744806916658043" w:history="1">
        <w:r w:rsidRPr="00402A48">
          <w:rPr>
            <w:rStyle w:val="a7"/>
            <w:vertAlign w:val="superscript"/>
          </w:rPr>
          <w:t>19</w:t>
        </w:r>
      </w:hyperlink>
      <w:r w:rsidRPr="00402A48">
        <w:t> The measurement range of the unit is 0 to 500</w:t>
      </w:r>
      <w:r w:rsidRPr="00402A48">
        <w:rPr>
          <w:rFonts w:ascii="MS Gothic" w:eastAsia="MS Gothic" w:hAnsi="MS Gothic" w:cs="MS Gothic" w:hint="eastAsia"/>
        </w:rPr>
        <w:t> </w:t>
      </w:r>
      <w:r w:rsidRPr="00402A48">
        <w:t>g with 0.1</w:t>
      </w:r>
      <w:r w:rsidRPr="00402A48">
        <w:rPr>
          <w:rFonts w:ascii="MS Gothic" w:eastAsia="MS Gothic" w:hAnsi="MS Gothic" w:cs="MS Gothic" w:hint="eastAsia"/>
        </w:rPr>
        <w:t> </w:t>
      </w:r>
      <w:r w:rsidRPr="00402A48">
        <w:t>g resolution. The probe was applied against the lateral edge of the hind paw with gradually increasing force. The force (g) that induced paw withdrawal was digitized by the unit and used as the threshold for mechanical nociception. Hind paw thermal hyperalgesia was assessed by measuring the latency of paw withdrawal in response to a radiant heat source.</w:t>
      </w:r>
      <w:hyperlink r:id="rId277" w:anchor="bibr21-1744806916658043" w:history="1">
        <w:r w:rsidRPr="00402A48">
          <w:rPr>
            <w:rStyle w:val="a7"/>
            <w:vertAlign w:val="superscript"/>
          </w:rPr>
          <w:t>21</w:t>
        </w:r>
      </w:hyperlink>
      <w:r w:rsidRPr="00402A48">
        <w:t> The paw withdrawal latency (PWL) was determined by an electronic clock circuit. A 20-s cutoff was used to prevent tissue damage.</w:t>
      </w:r>
    </w:p>
    <w:p w14:paraId="7A814341" w14:textId="77777777" w:rsidR="00402A48" w:rsidRPr="00402A48" w:rsidRDefault="00402A48" w:rsidP="00402A48">
      <w:r w:rsidRPr="00402A48">
        <w:t>For measurement of CPA behavior,</w:t>
      </w:r>
      <w:hyperlink r:id="rId278" w:anchor="bibr22-1744806916658043" w:history="1">
        <w:r w:rsidRPr="00402A48">
          <w:rPr>
            <w:rStyle w:val="a7"/>
            <w:vertAlign w:val="superscript"/>
          </w:rPr>
          <w:t>22</w:t>
        </w:r>
      </w:hyperlink>
      <w:r w:rsidRPr="00402A48">
        <w:t> animals were placed within a 40.5</w:t>
      </w:r>
      <w:r w:rsidRPr="00402A48">
        <w:rPr>
          <w:rFonts w:ascii="MS Gothic" w:eastAsia="MS Gothic" w:hAnsi="MS Gothic" w:cs="MS Gothic" w:hint="eastAsia"/>
        </w:rPr>
        <w:t> </w:t>
      </w:r>
      <w:r w:rsidRPr="00402A48">
        <w:rPr>
          <w:rFonts w:ascii="等线" w:eastAsia="等线" w:hAnsi="等线" w:cs="等线" w:hint="eastAsia"/>
        </w:rPr>
        <w:t>×</w:t>
      </w:r>
      <w:r w:rsidRPr="00402A48">
        <w:rPr>
          <w:rFonts w:ascii="MS Gothic" w:eastAsia="MS Gothic" w:hAnsi="MS Gothic" w:cs="MS Gothic" w:hint="eastAsia"/>
        </w:rPr>
        <w:t> </w:t>
      </w:r>
      <w:r w:rsidRPr="00402A48">
        <w:t>30.5</w:t>
      </w:r>
      <w:r w:rsidRPr="00402A48">
        <w:rPr>
          <w:rFonts w:ascii="MS Gothic" w:eastAsia="MS Gothic" w:hAnsi="MS Gothic" w:cs="MS Gothic" w:hint="eastAsia"/>
        </w:rPr>
        <w:t> </w:t>
      </w:r>
      <w:r w:rsidRPr="00402A48">
        <w:rPr>
          <w:rFonts w:ascii="等线" w:eastAsia="等线" w:hAnsi="等线" w:cs="等线" w:hint="eastAsia"/>
        </w:rPr>
        <w:t>×</w:t>
      </w:r>
      <w:r w:rsidRPr="00402A48">
        <w:rPr>
          <w:rFonts w:ascii="MS Gothic" w:eastAsia="MS Gothic" w:hAnsi="MS Gothic" w:cs="MS Gothic" w:hint="eastAsia"/>
        </w:rPr>
        <w:t> </w:t>
      </w:r>
      <w:r w:rsidRPr="00402A48">
        <w:t>16</w:t>
      </w:r>
      <w:r w:rsidRPr="00402A48">
        <w:rPr>
          <w:rFonts w:ascii="MS Gothic" w:eastAsia="MS Gothic" w:hAnsi="MS Gothic" w:cs="MS Gothic" w:hint="eastAsia"/>
        </w:rPr>
        <w:t> </w:t>
      </w:r>
      <w:r w:rsidRPr="00402A48">
        <w:t>cm Plexiglas chamber positioned on top of a mesh screen. One half of the chamber was painted white (light area) and the other half was painted black (dark area). During behavioral testing, animals were allowed unrestricted movement throughout the test chamber for the duration of a 30-min test period. Testing began immediately with suprathreshold mechanical stimulation (758</w:t>
      </w:r>
      <w:r w:rsidRPr="00402A48">
        <w:rPr>
          <w:rFonts w:ascii="MS Gothic" w:eastAsia="MS Gothic" w:hAnsi="MS Gothic" w:cs="MS Gothic" w:hint="eastAsia"/>
        </w:rPr>
        <w:t> </w:t>
      </w:r>
      <w:proofErr w:type="spellStart"/>
      <w:r w:rsidRPr="00402A48">
        <w:t>mN</w:t>
      </w:r>
      <w:proofErr w:type="spellEnd"/>
      <w:r w:rsidRPr="00402A48">
        <w:t xml:space="preserve"> von Frey monofilament) applied to the facial skin at 15-s intervals. The mechanical stimulus was applied to the skin above the injured tendon when the animal was within the preferred dark area and the facial skin on the non-injured side when the animal was within the non-preferred light area of the test chamber. Pre-injury naïve animals are mechanically stimulated in an identical manner as the injured groups. Based on the location of the animal at each 15-s interval, the mean percentage of time spent in each side of the chamber was calculated for the entire test period.</w:t>
      </w:r>
    </w:p>
    <w:p w14:paraId="4BFDFC50" w14:textId="77777777" w:rsidR="00402A48" w:rsidRPr="00402A48" w:rsidRDefault="00402A48" w:rsidP="00402A48">
      <w:r w:rsidRPr="00402A48">
        <w:t>Whole-cell patch-clamp recording</w:t>
      </w:r>
    </w:p>
    <w:p w14:paraId="69C571E3" w14:textId="77777777" w:rsidR="00402A48" w:rsidRPr="00402A48" w:rsidRDefault="00402A48" w:rsidP="00402A48">
      <w:r w:rsidRPr="00402A48">
        <w:t>The male mouse brain stem was dissected and horizontally sliced at a thickness of 0.4</w:t>
      </w:r>
      <w:r w:rsidRPr="00402A48">
        <w:rPr>
          <w:rFonts w:ascii="MS Gothic" w:eastAsia="MS Gothic" w:hAnsi="MS Gothic" w:cs="MS Gothic" w:hint="eastAsia"/>
        </w:rPr>
        <w:t> </w:t>
      </w:r>
      <w:r w:rsidRPr="00402A48">
        <w:t xml:space="preserve">mm. Slices were kept in a 50-ml glass beaker containing </w:t>
      </w:r>
      <w:proofErr w:type="spellStart"/>
      <w:r w:rsidRPr="00402A48">
        <w:t>carbogenated</w:t>
      </w:r>
      <w:proofErr w:type="spellEnd"/>
      <w:r w:rsidRPr="00402A48">
        <w:t xml:space="preserve"> protective artificial </w:t>
      </w:r>
      <w:r w:rsidRPr="00402A48">
        <w:lastRenderedPageBreak/>
        <w:t>cerebrospinal fluid at 33</w:t>
      </w:r>
      <w:r w:rsidRPr="00402A48">
        <w:rPr>
          <w:rFonts w:ascii="等线" w:eastAsia="等线" w:hAnsi="等线" w:cs="等线" w:hint="eastAsia"/>
        </w:rPr>
        <w:t>℃</w:t>
      </w:r>
      <w:r w:rsidRPr="00402A48">
        <w:t>. After at least a 1-hour recovery, slices were transferred into a recording chamber and continuously perfused (10</w:t>
      </w:r>
      <w:r w:rsidRPr="00402A48">
        <w:rPr>
          <w:rFonts w:ascii="等线" w:eastAsia="等线" w:hAnsi="等线" w:cs="等线" w:hint="eastAsia"/>
        </w:rPr>
        <w:t>–</w:t>
      </w:r>
      <w:r w:rsidRPr="00402A48">
        <w:t>15</w:t>
      </w:r>
      <w:r w:rsidRPr="00402A48">
        <w:rPr>
          <w:rFonts w:ascii="MS Gothic" w:eastAsia="MS Gothic" w:hAnsi="MS Gothic" w:cs="MS Gothic" w:hint="eastAsia"/>
        </w:rPr>
        <w:t> </w:t>
      </w:r>
      <w:r w:rsidRPr="00402A48">
        <w:t>ml/min) with oxygenated Krebs</w:t>
      </w:r>
      <w:proofErr w:type="gramStart"/>
      <w:r w:rsidRPr="00402A48">
        <w:rPr>
          <w:rFonts w:ascii="等线" w:eastAsia="等线" w:hAnsi="等线" w:cs="等线" w:hint="eastAsia"/>
        </w:rPr>
        <w:t>’</w:t>
      </w:r>
      <w:proofErr w:type="gramEnd"/>
      <w:r w:rsidRPr="00402A48">
        <w:t xml:space="preserve"> solution (composition in mM: NaCl 126, NaHCO</w:t>
      </w:r>
      <w:r w:rsidRPr="00402A48">
        <w:rPr>
          <w:vertAlign w:val="subscript"/>
        </w:rPr>
        <w:t>3</w:t>
      </w:r>
      <w:r w:rsidRPr="00402A48">
        <w:t xml:space="preserve"> 26, glucose 10, </w:t>
      </w:r>
      <w:proofErr w:type="spellStart"/>
      <w:r w:rsidRPr="00402A48">
        <w:t>KCl</w:t>
      </w:r>
      <w:proofErr w:type="spellEnd"/>
      <w:r w:rsidRPr="00402A48">
        <w:t xml:space="preserve"> 2.5, CaCl</w:t>
      </w:r>
      <w:r w:rsidRPr="00402A48">
        <w:rPr>
          <w:vertAlign w:val="subscript"/>
        </w:rPr>
        <w:t>2</w:t>
      </w:r>
      <w:r w:rsidRPr="00402A48">
        <w:t> 2, MgCl</w:t>
      </w:r>
      <w:r w:rsidRPr="00402A48">
        <w:rPr>
          <w:vertAlign w:val="subscript"/>
        </w:rPr>
        <w:t>2</w:t>
      </w:r>
      <w:r w:rsidRPr="00402A48">
        <w:t> 1.2, and NaH</w:t>
      </w:r>
      <w:r w:rsidRPr="00402A48">
        <w:rPr>
          <w:vertAlign w:val="subscript"/>
        </w:rPr>
        <w:t>2</w:t>
      </w:r>
      <w:r w:rsidRPr="00402A48">
        <w:t>PO</w:t>
      </w:r>
      <w:r w:rsidRPr="00402A48">
        <w:rPr>
          <w:vertAlign w:val="subscript"/>
        </w:rPr>
        <w:t>4</w:t>
      </w:r>
      <w:r w:rsidRPr="00402A48">
        <w:t xml:space="preserve"> 1.25) at room temperature. We recorded from lamina II neurons of the subnucleus </w:t>
      </w:r>
      <w:proofErr w:type="spellStart"/>
      <w:r w:rsidRPr="00402A48">
        <w:t>caudalis</w:t>
      </w:r>
      <w:proofErr w:type="spellEnd"/>
      <w:r w:rsidRPr="00402A48">
        <w:t xml:space="preserve"> of the spinal trigeminal nucleus (</w:t>
      </w:r>
      <w:proofErr w:type="spellStart"/>
      <w:r w:rsidRPr="00402A48">
        <w:t>Vc</w:t>
      </w:r>
      <w:proofErr w:type="spellEnd"/>
      <w:r w:rsidRPr="00402A48">
        <w:t>). Spontaneous excitatory postsynaptic currents (</w:t>
      </w:r>
      <w:proofErr w:type="spellStart"/>
      <w:r w:rsidRPr="00402A48">
        <w:t>sEPSCs</w:t>
      </w:r>
      <w:proofErr w:type="spellEnd"/>
      <w:r w:rsidRPr="00402A48">
        <w:t xml:space="preserve">) were recorded continuously at a holding potential of </w:t>
      </w:r>
      <w:r w:rsidRPr="00402A48">
        <w:rPr>
          <w:rFonts w:ascii="微软雅黑" w:eastAsia="微软雅黑" w:hAnsi="微软雅黑" w:cs="微软雅黑" w:hint="eastAsia"/>
        </w:rPr>
        <w:t>−</w:t>
      </w:r>
      <w:r w:rsidRPr="00402A48">
        <w:t>70</w:t>
      </w:r>
      <w:r w:rsidRPr="00402A48">
        <w:rPr>
          <w:rFonts w:ascii="MS Gothic" w:eastAsia="MS Gothic" w:hAnsi="MS Gothic" w:cs="MS Gothic" w:hint="eastAsia"/>
        </w:rPr>
        <w:t> </w:t>
      </w:r>
      <w:r w:rsidRPr="00402A48">
        <w:t>mV in the absence of tetrodotoxin. The recording electrode resistance was 7</w:t>
      </w:r>
      <w:r w:rsidRPr="00402A48">
        <w:rPr>
          <w:rFonts w:ascii="等线" w:eastAsia="等线" w:hAnsi="等线" w:cs="等线" w:hint="eastAsia"/>
        </w:rPr>
        <w:t>–</w:t>
      </w:r>
      <w:r w:rsidRPr="00402A48">
        <w:t>10</w:t>
      </w:r>
      <w:r w:rsidRPr="00402A48">
        <w:rPr>
          <w:rFonts w:ascii="MS Gothic" w:eastAsia="MS Gothic" w:hAnsi="MS Gothic" w:cs="MS Gothic" w:hint="eastAsia"/>
        </w:rPr>
        <w:t> </w:t>
      </w:r>
      <w:r w:rsidRPr="00402A48">
        <w:t>M</w:t>
      </w:r>
      <w:r w:rsidRPr="00402A48">
        <w:rPr>
          <w:rFonts w:ascii="等线" w:eastAsia="等线" w:hAnsi="等线" w:cs="等线" w:hint="eastAsia"/>
        </w:rPr>
        <w:t>Ω</w:t>
      </w:r>
      <w:r w:rsidRPr="00402A48">
        <w:t>. To block inhibitory transmission, 1</w:t>
      </w:r>
      <w:r w:rsidRPr="00402A48">
        <w:rPr>
          <w:rFonts w:ascii="MS Gothic" w:eastAsia="MS Gothic" w:hAnsi="MS Gothic" w:cs="MS Gothic" w:hint="eastAsia"/>
        </w:rPr>
        <w:t> </w:t>
      </w:r>
      <w:r w:rsidRPr="00402A48">
        <w:t>mM strychnine sulfate and 10</w:t>
      </w:r>
      <w:r w:rsidRPr="00402A48">
        <w:rPr>
          <w:rFonts w:ascii="MS Gothic" w:eastAsia="MS Gothic" w:hAnsi="MS Gothic" w:cs="MS Gothic" w:hint="eastAsia"/>
        </w:rPr>
        <w:t> </w:t>
      </w:r>
      <w:r w:rsidRPr="00402A48">
        <w:t xml:space="preserve">mM bicuculline methiodide were included in the </w:t>
      </w:r>
      <w:proofErr w:type="spellStart"/>
      <w:r w:rsidRPr="00402A48">
        <w:t>superfusate</w:t>
      </w:r>
      <w:proofErr w:type="spellEnd"/>
      <w:r w:rsidRPr="00402A48">
        <w:t xml:space="preserve"> in all experiments. Whole-cell voltage-clamp recordings were performed with series resistance compensation using an EPC 10 amplifier.</w:t>
      </w:r>
    </w:p>
    <w:p w14:paraId="1798E384" w14:textId="2915C4E5" w:rsidR="001F713D" w:rsidRDefault="001F713D">
      <w:pPr>
        <w:widowControl/>
        <w:jc w:val="left"/>
      </w:pPr>
      <w:r>
        <w:rPr>
          <w:rFonts w:hint="eastAsia"/>
        </w:rPr>
        <w:br w:type="page"/>
      </w:r>
    </w:p>
    <w:p w14:paraId="432F5451" w14:textId="0EE442C1" w:rsidR="00402A48" w:rsidRDefault="004F6144" w:rsidP="0000260D">
      <w:r>
        <w:rPr>
          <w:rFonts w:hint="eastAsia"/>
        </w:rPr>
        <w:lastRenderedPageBreak/>
        <w:t>39.</w:t>
      </w:r>
      <w:hyperlink r:id="rId279" w:anchor="S13" w:history="1">
        <w:r w:rsidR="00811CEB" w:rsidRPr="00811CEB">
          <w:rPr>
            <w:rStyle w:val="a7"/>
          </w:rPr>
          <w:t>A3 adenosine receptor agonist prevents the development of paclitaxel-induced neuropathic pain by modulating spinal glial-restricted redox-dependent signaling pathways - PMC</w:t>
        </w:r>
      </w:hyperlink>
    </w:p>
    <w:p w14:paraId="53960F41" w14:textId="77777777" w:rsidR="00811CEB" w:rsidRDefault="00811CEB" w:rsidP="0000260D"/>
    <w:p w14:paraId="7A2C07CC" w14:textId="77777777" w:rsidR="00811CEB" w:rsidRPr="00811CEB" w:rsidRDefault="00811CEB" w:rsidP="00811CEB">
      <w:pPr>
        <w:rPr>
          <w:b/>
          <w:bCs/>
        </w:rPr>
      </w:pPr>
      <w:r w:rsidRPr="00811CEB">
        <w:rPr>
          <w:rFonts w:hint="eastAsia"/>
          <w:b/>
          <w:bCs/>
        </w:rPr>
        <w:t>A3 adenosine receptor agonist prevents the development of paclitaxel-induced neuropathic pain by modulating spinal glial-restricted redox-dependent signaling pathways</w:t>
      </w:r>
    </w:p>
    <w:p w14:paraId="6609A82D" w14:textId="063418BF" w:rsidR="00811CEB" w:rsidRDefault="00811CEB" w:rsidP="00811CEB">
      <w:r>
        <w:rPr>
          <w:rFonts w:hint="eastAsia"/>
        </w:rPr>
        <w:t xml:space="preserve">Kali Janes a, </w:t>
      </w:r>
      <w:proofErr w:type="spellStart"/>
      <w:r>
        <w:rPr>
          <w:rFonts w:hint="eastAsia"/>
        </w:rPr>
        <w:t>Emanuela</w:t>
      </w:r>
      <w:proofErr w:type="spellEnd"/>
      <w:r>
        <w:rPr>
          <w:rFonts w:hint="eastAsia"/>
        </w:rPr>
        <w:t xml:space="preserve"> Esposito b, Timothy Doyle a, Salvatore </w:t>
      </w:r>
      <w:proofErr w:type="spellStart"/>
      <w:r>
        <w:rPr>
          <w:rFonts w:hint="eastAsia"/>
        </w:rPr>
        <w:t>Cuzzocrea</w:t>
      </w:r>
      <w:proofErr w:type="spellEnd"/>
      <w:r>
        <w:rPr>
          <w:rFonts w:hint="eastAsia"/>
        </w:rPr>
        <w:t xml:space="preserve"> b, </w:t>
      </w:r>
      <w:proofErr w:type="spellStart"/>
      <w:r>
        <w:rPr>
          <w:rFonts w:hint="eastAsia"/>
        </w:rPr>
        <w:t>Dillip</w:t>
      </w:r>
      <w:proofErr w:type="spellEnd"/>
      <w:r>
        <w:rPr>
          <w:rFonts w:hint="eastAsia"/>
        </w:rPr>
        <w:t xml:space="preserve"> K Tosh c, Kenneth A Jacobson c, Daniela </w:t>
      </w:r>
      <w:proofErr w:type="spellStart"/>
      <w:r>
        <w:rPr>
          <w:rFonts w:hint="eastAsia"/>
        </w:rPr>
        <w:t>Salvemini</w:t>
      </w:r>
      <w:proofErr w:type="spellEnd"/>
    </w:p>
    <w:p w14:paraId="6388203A" w14:textId="77777777" w:rsidR="00811CEB" w:rsidRDefault="00811CEB" w:rsidP="00811CEB"/>
    <w:p w14:paraId="2B504F30" w14:textId="42E4C1B5" w:rsidR="00811CEB" w:rsidRDefault="00811CEB" w:rsidP="00811CEB">
      <w:r>
        <w:rPr>
          <w:rFonts w:hint="eastAsia"/>
          <w:noProof/>
        </w:rPr>
        <w:drawing>
          <wp:inline distT="0" distB="0" distL="0" distR="0" wp14:anchorId="5E168509" wp14:editId="60A4CFC1">
            <wp:extent cx="6236870" cy="1901789"/>
            <wp:effectExtent l="0" t="0" r="0" b="3810"/>
            <wp:docPr id="9712725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249352" cy="1905595"/>
                    </a:xfrm>
                    <a:prstGeom prst="rect">
                      <a:avLst/>
                    </a:prstGeom>
                    <a:noFill/>
                  </pic:spPr>
                </pic:pic>
              </a:graphicData>
            </a:graphic>
          </wp:inline>
        </w:drawing>
      </w:r>
    </w:p>
    <w:p w14:paraId="23BB1E86" w14:textId="2B6FC378" w:rsidR="00811CEB" w:rsidRDefault="00811CEB" w:rsidP="00811CEB">
      <w:pPr>
        <w:rPr>
          <w:i/>
          <w:iCs/>
        </w:rPr>
      </w:pPr>
      <w:r w:rsidRPr="00811CEB">
        <w:t>As compared to baseline on D16, administration of paclitaxel (P, </w:t>
      </w:r>
      <w:r w:rsidRPr="00811CEB">
        <w:rPr>
          <w:i/>
          <w:iCs/>
        </w:rPr>
        <w:t>black bars</w:t>
      </w:r>
      <w:r w:rsidRPr="00811CEB">
        <w:t>) but not vehicle (V, </w:t>
      </w:r>
      <w:r w:rsidRPr="00811CEB">
        <w:rPr>
          <w:i/>
          <w:iCs/>
        </w:rPr>
        <w:t>open bars</w:t>
      </w:r>
      <w:r w:rsidRPr="00811CEB">
        <w:t>) leads to the development of mechano-allodynia (</w:t>
      </w:r>
      <w:r w:rsidRPr="00811CEB">
        <w:rPr>
          <w:b/>
          <w:bCs/>
        </w:rPr>
        <w:t>A</w:t>
      </w:r>
      <w:r w:rsidRPr="00811CEB">
        <w:t xml:space="preserve">) and </w:t>
      </w:r>
      <w:proofErr w:type="spellStart"/>
      <w:r w:rsidRPr="00811CEB">
        <w:t>mechano</w:t>
      </w:r>
      <w:proofErr w:type="spellEnd"/>
      <w:r w:rsidRPr="00811CEB">
        <w:t>–hyperalgesia (</w:t>
      </w:r>
      <w:r w:rsidRPr="00811CEB">
        <w:rPr>
          <w:b/>
          <w:bCs/>
        </w:rPr>
        <w:t>B</w:t>
      </w:r>
      <w:r w:rsidRPr="00811CEB">
        <w:t>). Spinal cords from paclitaxel-treated animals displayed higher levels of NADPH oxidase activity than their vehicle-treated counterparts (</w:t>
      </w:r>
      <w:r w:rsidRPr="00811CEB">
        <w:rPr>
          <w:b/>
          <w:bCs/>
        </w:rPr>
        <w:t>C</w:t>
      </w:r>
      <w:r w:rsidRPr="00811CEB">
        <w:t>). These paclitaxel-induced events were blocked by daily administration of the A</w:t>
      </w:r>
      <w:r w:rsidRPr="00811CEB">
        <w:rPr>
          <w:vertAlign w:val="subscript"/>
        </w:rPr>
        <w:t>3</w:t>
      </w:r>
      <w:r w:rsidRPr="00811CEB">
        <w:t>AR agonist IB-MECA (D0–15, 0.1 mg/kg/d; </w:t>
      </w:r>
      <w:r w:rsidRPr="00811CEB">
        <w:rPr>
          <w:i/>
          <w:iCs/>
        </w:rPr>
        <w:t>dark gray bars</w:t>
      </w:r>
      <w:r w:rsidRPr="00811CEB">
        <w:t>, </w:t>
      </w:r>
      <w:r w:rsidRPr="00811CEB">
        <w:rPr>
          <w:b/>
          <w:bCs/>
        </w:rPr>
        <w:t>A–C</w:t>
      </w:r>
      <w:r w:rsidRPr="00811CEB">
        <w:t>). The selective A</w:t>
      </w:r>
      <w:r w:rsidRPr="00811CEB">
        <w:rPr>
          <w:vertAlign w:val="subscript"/>
        </w:rPr>
        <w:t>3</w:t>
      </w:r>
      <w:r w:rsidRPr="00811CEB">
        <w:t>AR antagonist MRS1523 (2 mg/kg/d, D0–15, </w:t>
      </w:r>
      <w:r w:rsidRPr="00811CEB">
        <w:rPr>
          <w:i/>
          <w:iCs/>
        </w:rPr>
        <w:t>dark gray hatched bars</w:t>
      </w:r>
      <w:r w:rsidRPr="00811CEB">
        <w:t>) prevented IB-MECA’s beneficial actions (</w:t>
      </w:r>
      <w:r w:rsidRPr="00811CEB">
        <w:rPr>
          <w:b/>
          <w:bCs/>
        </w:rPr>
        <w:t>A–C</w:t>
      </w:r>
      <w:r w:rsidRPr="00811CEB">
        <w:t>). MRS1523 (</w:t>
      </w:r>
      <w:r w:rsidRPr="00811CEB">
        <w:rPr>
          <w:i/>
          <w:iCs/>
        </w:rPr>
        <w:t>white hatched bars</w:t>
      </w:r>
      <w:r w:rsidRPr="00811CEB">
        <w:t>) administered on its own to paclitaxel animals had no effect on PWTs (</w:t>
      </w:r>
      <w:proofErr w:type="gramStart"/>
      <w:r w:rsidRPr="00811CEB">
        <w:rPr>
          <w:b/>
          <w:bCs/>
        </w:rPr>
        <w:t>A,B</w:t>
      </w:r>
      <w:proofErr w:type="gramEnd"/>
      <w:r w:rsidRPr="00811CEB">
        <w:t>). </w:t>
      </w:r>
      <w:r w:rsidRPr="00811CEB">
        <w:rPr>
          <w:i/>
          <w:iCs/>
        </w:rPr>
        <w:t>Results are expressed as mean ± SD for n=5–6 rats and analyzed by one-way ANOVA with Dunnett’s comparisons. *P&lt;0.05 vs. Vehicle; †P&lt;0.05 vs. Paclitaxel</w:t>
      </w:r>
    </w:p>
    <w:p w14:paraId="0E626FDD" w14:textId="77777777" w:rsidR="00811CEB" w:rsidRDefault="00811CEB" w:rsidP="00811CEB">
      <w:pPr>
        <w:rPr>
          <w:i/>
          <w:iCs/>
        </w:rPr>
      </w:pPr>
    </w:p>
    <w:p w14:paraId="0FA9A32C" w14:textId="77777777" w:rsidR="00811CEB" w:rsidRDefault="00811CEB" w:rsidP="00811CEB">
      <w:pPr>
        <w:rPr>
          <w:i/>
          <w:iCs/>
        </w:rPr>
      </w:pPr>
    </w:p>
    <w:p w14:paraId="47535BDB" w14:textId="77777777" w:rsidR="00811CEB" w:rsidRPr="00811CEB" w:rsidRDefault="00811CEB" w:rsidP="00811CEB">
      <w:r w:rsidRPr="00811CEB">
        <w:t>Behavioral testing</w:t>
      </w:r>
    </w:p>
    <w:p w14:paraId="63F7BA19" w14:textId="77777777" w:rsidR="00811CEB" w:rsidRPr="00811CEB" w:rsidRDefault="00811CEB" w:rsidP="00811CEB">
      <w:r w:rsidRPr="00811CEB">
        <w:t>Behavioral measurements were always taken prior to the administration of test substances. Mechano-allodynia was measured as previously described [</w:t>
      </w:r>
      <w:hyperlink r:id="rId281" w:anchor="R10" w:history="1">
        <w:r w:rsidRPr="00811CEB">
          <w:rPr>
            <w:rStyle w:val="a7"/>
          </w:rPr>
          <w:t>10</w:t>
        </w:r>
      </w:hyperlink>
      <w:r w:rsidRPr="00811CEB">
        <w:t>,</w:t>
      </w:r>
      <w:hyperlink r:id="rId282" w:anchor="R25" w:history="1">
        <w:r w:rsidRPr="00811CEB">
          <w:rPr>
            <w:rStyle w:val="a7"/>
          </w:rPr>
          <w:t>25</w:t>
        </w:r>
      </w:hyperlink>
      <w:r w:rsidRPr="00811CEB">
        <w:t>]. Briefly, rats were allowed to acclimate to behavioral chambers for 15 min prior to measuring the mechanical paw withdrawal thresholds, grams [PWT, (g)] by manual von Frey filaments (</w:t>
      </w:r>
      <w:proofErr w:type="spellStart"/>
      <w:r w:rsidRPr="00811CEB">
        <w:t>Stoelting</w:t>
      </w:r>
      <w:proofErr w:type="spellEnd"/>
      <w:r w:rsidRPr="00811CEB">
        <w:t>, Wood Dale, IL, ranging from 3.61 [0.407 g] to 5.46 [26 g] bending force) [</w:t>
      </w:r>
      <w:hyperlink r:id="rId283" w:anchor="R9" w:history="1">
        <w:r w:rsidRPr="00811CEB">
          <w:rPr>
            <w:rStyle w:val="a7"/>
          </w:rPr>
          <w:t>9</w:t>
        </w:r>
      </w:hyperlink>
      <w:r w:rsidRPr="00811CEB">
        <w:t>] or electronic Von Frey test (dynamic plantar aesthesiometer, model 37450; Ugo Basile, Italy) with a cut off set at 50 g. Mechano-allodynia was defined by a significant (P&lt;0.05) reduction in mechanical mean absolute PWT (g) at forces that failed to elicit withdrawal responses before chemotherapy treatment (D0). Mechano-hyperalgesia was measured by stimulating the dorsum of the rat’s hind paw as previously described [</w:t>
      </w:r>
      <w:hyperlink r:id="rId284" w:anchor="R10" w:history="1">
        <w:r w:rsidRPr="00811CEB">
          <w:rPr>
            <w:rStyle w:val="a7"/>
          </w:rPr>
          <w:t>10</w:t>
        </w:r>
      </w:hyperlink>
      <w:r w:rsidRPr="00811CEB">
        <w:t>,</w:t>
      </w:r>
      <w:hyperlink r:id="rId285" w:anchor="R25" w:history="1">
        <w:r w:rsidRPr="00811CEB">
          <w:rPr>
            <w:rStyle w:val="a7"/>
          </w:rPr>
          <w:t>25</w:t>
        </w:r>
      </w:hyperlink>
      <w:r w:rsidRPr="00811CEB">
        <w:t xml:space="preserve">] by the Randall and </w:t>
      </w:r>
      <w:proofErr w:type="spellStart"/>
      <w:r w:rsidRPr="00811CEB">
        <w:t>Sellitto</w:t>
      </w:r>
      <w:proofErr w:type="spellEnd"/>
      <w:r w:rsidRPr="00811CEB">
        <w:t xml:space="preserve"> paw pressure test [</w:t>
      </w:r>
      <w:hyperlink r:id="rId286" w:anchor="R47" w:history="1">
        <w:r w:rsidRPr="00811CEB">
          <w:rPr>
            <w:rStyle w:val="a7"/>
          </w:rPr>
          <w:t>47</w:t>
        </w:r>
      </w:hyperlink>
      <w:r w:rsidRPr="00811CEB">
        <w:t xml:space="preserve">] using a Ugo-Basile </w:t>
      </w:r>
      <w:proofErr w:type="spellStart"/>
      <w:r w:rsidRPr="00811CEB">
        <w:t>analgesiometer</w:t>
      </w:r>
      <w:proofErr w:type="spellEnd"/>
      <w:r w:rsidRPr="00811CEB">
        <w:t xml:space="preserve"> (Italy. model 37215). The nociceptive </w:t>
      </w:r>
      <w:r w:rsidRPr="00811CEB">
        <w:lastRenderedPageBreak/>
        <w:t>paw withdrawal threshold [PWT, (g)] was defined as the force (g) which caused the rat withdrew its paw (cut off set at 250 g). Since, chemotherapy-induced neuropathy results in bilateral allodynia and hyperalgesia with no differences between left and right hind PWT (g), the values from both paws were averaged. Animals receiving chemotherapeutic agents in the presence or absence of the experimental test substances tested did not display signs of any toxicities, as previously described [</w:t>
      </w:r>
      <w:hyperlink r:id="rId287" w:anchor="R10" w:history="1">
        <w:r w:rsidRPr="00811CEB">
          <w:rPr>
            <w:rStyle w:val="a7"/>
          </w:rPr>
          <w:t>10</w:t>
        </w:r>
      </w:hyperlink>
      <w:r w:rsidRPr="00811CEB">
        <w:t>,</w:t>
      </w:r>
      <w:hyperlink r:id="rId288" w:anchor="R25" w:history="1">
        <w:r w:rsidRPr="00811CEB">
          <w:rPr>
            <w:rStyle w:val="a7"/>
          </w:rPr>
          <w:t>25</w:t>
        </w:r>
      </w:hyperlink>
      <w:r w:rsidRPr="00811CEB">
        <w:t>].</w:t>
      </w:r>
    </w:p>
    <w:p w14:paraId="31AB2D3F" w14:textId="77777777" w:rsidR="00811CEB" w:rsidRPr="00811CEB" w:rsidRDefault="00811CEB" w:rsidP="00811CEB">
      <w:r w:rsidRPr="00811CEB">
        <w:t>Tissue Collection</w:t>
      </w:r>
    </w:p>
    <w:p w14:paraId="0EF38D67" w14:textId="77777777" w:rsidR="00811CEB" w:rsidRPr="00811CEB" w:rsidRDefault="00811CEB" w:rsidP="00811CEB">
      <w:r w:rsidRPr="00811CEB">
        <w:t>At a time point of peak mechano-hypersensitivity (D16 or D25), animals were terminally anesthetized and decapitated for tissue collection. Immediately afterwards, the lumbar enlargement portion of the spinal cord (L5–L6) was harvested, flash frozen in liquid nitrogen, and stored at -80 °C until the appropriate biochemical assay could be performed.</w:t>
      </w:r>
    </w:p>
    <w:p w14:paraId="30844EC8" w14:textId="77777777" w:rsidR="00811CEB" w:rsidRPr="00811CEB" w:rsidRDefault="00811CEB" w:rsidP="00811CEB">
      <w:r w:rsidRPr="00811CEB">
        <w:t>Measurement of NADPH oxidase activity</w:t>
      </w:r>
    </w:p>
    <w:p w14:paraId="5ECF287E" w14:textId="77777777" w:rsidR="00811CEB" w:rsidRPr="00811CEB" w:rsidRDefault="00811CEB" w:rsidP="00811CEB">
      <w:r w:rsidRPr="00811CEB">
        <w:t xml:space="preserve">Spinal cord tissues (L4–L6) were homogenized in HEPES buffer [10 mM, pH 7.5, containing 250 mM sucrose, 1 mM EGTA, 25 mM potassium chloride, 10 </w:t>
      </w:r>
      <w:proofErr w:type="spellStart"/>
      <w:r w:rsidRPr="00811CEB">
        <w:t>μg</w:t>
      </w:r>
      <w:proofErr w:type="spellEnd"/>
      <w:r w:rsidRPr="00811CEB">
        <w:t xml:space="preserve">/ml soybean trypsin inhibitor, 2 </w:t>
      </w:r>
      <w:proofErr w:type="spellStart"/>
      <w:r w:rsidRPr="00811CEB">
        <w:t>μg</w:t>
      </w:r>
      <w:proofErr w:type="spellEnd"/>
      <w:r w:rsidRPr="00811CEB">
        <w:t xml:space="preserve">/ml aprotinin and 10 </w:t>
      </w:r>
      <w:proofErr w:type="spellStart"/>
      <w:r w:rsidRPr="00811CEB">
        <w:t>μg</w:t>
      </w:r>
      <w:proofErr w:type="spellEnd"/>
      <w:r w:rsidRPr="00811CEB">
        <w:t>/ml leupeptin] and centrifuged at 1,000 × g to obtain the nuclear-free supernatants. The NADPH cytochrome c reductase activity in these supernatants was measured using Cytochrome c Reductase (NADPH) Assay Kit as previously described [</w:t>
      </w:r>
      <w:hyperlink r:id="rId289" w:anchor="R10" w:history="1">
        <w:r w:rsidRPr="00811CEB">
          <w:rPr>
            <w:rStyle w:val="a7"/>
          </w:rPr>
          <w:t>10</w:t>
        </w:r>
      </w:hyperlink>
      <w:r w:rsidRPr="00811CEB">
        <w:t>].</w:t>
      </w:r>
    </w:p>
    <w:p w14:paraId="4C5161CF" w14:textId="77777777" w:rsidR="00811CEB" w:rsidRPr="00811CEB" w:rsidRDefault="00811CEB" w:rsidP="00811CEB">
      <w:r w:rsidRPr="00811CEB">
        <w:t>Western blot analysis for transcription factors</w:t>
      </w:r>
    </w:p>
    <w:p w14:paraId="69221B96" w14:textId="77777777" w:rsidR="00811CEB" w:rsidRPr="00811CEB" w:rsidRDefault="00811CEB" w:rsidP="00811CEB">
      <w:r w:rsidRPr="00811CEB">
        <w:t xml:space="preserve">The levels of </w:t>
      </w:r>
      <w:proofErr w:type="spellStart"/>
      <w:r w:rsidRPr="00811CEB">
        <w:t>IκB</w:t>
      </w:r>
      <w:proofErr w:type="spellEnd"/>
      <w:r w:rsidRPr="00811CEB">
        <w:t>α, phospho-</w:t>
      </w:r>
      <w:proofErr w:type="spellStart"/>
      <w:r w:rsidRPr="00811CEB">
        <w:t>NFκB</w:t>
      </w:r>
      <w:proofErr w:type="spellEnd"/>
      <w:r w:rsidRPr="00811CEB">
        <w:t xml:space="preserve"> p65 (serine 536), phospho-ERK1/2, ERK1/2, and phospho-p38 MAP kinase were quantified in cytosolic fractions from spinal cord tissue, while </w:t>
      </w:r>
      <w:proofErr w:type="spellStart"/>
      <w:r w:rsidRPr="00811CEB">
        <w:t>NFκB</w:t>
      </w:r>
      <w:proofErr w:type="spellEnd"/>
      <w:r w:rsidRPr="00811CEB">
        <w:t xml:space="preserve"> p65 levels were quantified in nuclear fractions prepared as previously described [</w:t>
      </w:r>
      <w:hyperlink r:id="rId290" w:anchor="R43" w:history="1">
        <w:r w:rsidRPr="00811CEB">
          <w:rPr>
            <w:rStyle w:val="a7"/>
          </w:rPr>
          <w:t>43</w:t>
        </w:r>
      </w:hyperlink>
      <w:r w:rsidRPr="00811CEB">
        <w:t>]. All lysates were stored at -80°C until further analysis. Western blot analysis was performed as previously described [</w:t>
      </w:r>
      <w:hyperlink r:id="rId291" w:anchor="R43" w:history="1">
        <w:r w:rsidRPr="00811CEB">
          <w:rPr>
            <w:rStyle w:val="a7"/>
          </w:rPr>
          <w:t>43</w:t>
        </w:r>
      </w:hyperlink>
      <w:r w:rsidRPr="00811CEB">
        <w:t xml:space="preserve">] using specific antibodies to </w:t>
      </w:r>
      <w:proofErr w:type="spellStart"/>
      <w:r w:rsidRPr="00811CEB">
        <w:t>IκB</w:t>
      </w:r>
      <w:proofErr w:type="spellEnd"/>
      <w:r w:rsidRPr="00811CEB">
        <w:t xml:space="preserve">α, </w:t>
      </w:r>
      <w:proofErr w:type="spellStart"/>
      <w:r w:rsidRPr="00811CEB">
        <w:t>NFκB</w:t>
      </w:r>
      <w:proofErr w:type="spellEnd"/>
      <w:r w:rsidRPr="00811CEB">
        <w:t xml:space="preserve"> p65, ERK2, phospho-ERK1/2 (1:1000; Santa Cruz Biotechnology; Dallas, TX), phospho-p38 MAP kinase (threonine180/tyrosine182), phospho-</w:t>
      </w:r>
      <w:proofErr w:type="spellStart"/>
      <w:r w:rsidRPr="00811CEB">
        <w:t>NFκB</w:t>
      </w:r>
      <w:proofErr w:type="spellEnd"/>
      <w:r w:rsidRPr="00811CEB">
        <w:t xml:space="preserve"> p65 (serine 536) (1:1000; Cell Signaling Technology; Beverly, MA), horseradish peroxidase-conjugated secondary antibodies (1:2000; Jackson </w:t>
      </w:r>
      <w:proofErr w:type="spellStart"/>
      <w:r w:rsidRPr="00811CEB">
        <w:t>ImmunoResearch</w:t>
      </w:r>
      <w:proofErr w:type="spellEnd"/>
      <w:r w:rsidRPr="00811CEB">
        <w:t xml:space="preserve"> </w:t>
      </w:r>
      <w:proofErr w:type="spellStart"/>
      <w:r w:rsidRPr="00811CEB">
        <w:t>Labratories</w:t>
      </w:r>
      <w:proofErr w:type="spellEnd"/>
      <w:r w:rsidRPr="00811CEB">
        <w:t>; West Grove, PA) and enhanced chemiluminescence system (</w:t>
      </w:r>
      <w:proofErr w:type="spellStart"/>
      <w:r w:rsidRPr="00811CEB">
        <w:t>Amersham</w:t>
      </w:r>
      <w:proofErr w:type="spellEnd"/>
      <w:r w:rsidRPr="00811CEB">
        <w:t xml:space="preserve"> Biosciences; </w:t>
      </w:r>
      <w:proofErr w:type="spellStart"/>
      <w:r w:rsidRPr="00811CEB">
        <w:t>Amersham</w:t>
      </w:r>
      <w:proofErr w:type="spellEnd"/>
      <w:r w:rsidRPr="00811CEB">
        <w:t xml:space="preserve">, UK). For loading controls, membranes were stripped and probed with antibodies against β-actin (1:10,000 Sigma-Aldrich) for whole lysates or cytosolic fractions or laminin-B1 protein (1:10,000, Sigma-Aldrich) for nuclear lysates. The relative expression of the protein bands </w:t>
      </w:r>
      <w:proofErr w:type="gramStart"/>
      <w:r w:rsidRPr="00811CEB">
        <w:t>were</w:t>
      </w:r>
      <w:proofErr w:type="gramEnd"/>
      <w:r w:rsidRPr="00811CEB">
        <w:t xml:space="preserve"> quantified by densitometric scanning of the X-ray films with GS-700 Imaging Densitometer (GS-700, Bio-Rad Laboratories; Milan, Italy) and Molecular Analyst software (IBM).</w:t>
      </w:r>
    </w:p>
    <w:p w14:paraId="5C893E14" w14:textId="77777777" w:rsidR="00811CEB" w:rsidRPr="00811CEB" w:rsidRDefault="00811CEB" w:rsidP="00811CEB">
      <w:r w:rsidRPr="00811CEB">
        <w:t>Cytokine Assay</w:t>
      </w:r>
    </w:p>
    <w:p w14:paraId="181F7762" w14:textId="77777777" w:rsidR="00811CEB" w:rsidRPr="00811CEB" w:rsidRDefault="00811CEB" w:rsidP="00811CEB">
      <w:r w:rsidRPr="00811CEB">
        <w:t>The levels of cytokines in spinal cord (L4–6) cytosolic fraction isolated for Western Blot were assessed using by commercially available ELISA kits (R&amp;D Systems; Milano, Italy) as previously described [</w:t>
      </w:r>
      <w:hyperlink r:id="rId292" w:anchor="R10" w:history="1">
        <w:r w:rsidRPr="00811CEB">
          <w:rPr>
            <w:rStyle w:val="a7"/>
          </w:rPr>
          <w:t>10</w:t>
        </w:r>
      </w:hyperlink>
      <w:r w:rsidRPr="00811CEB">
        <w:t>,</w:t>
      </w:r>
      <w:hyperlink r:id="rId293" w:anchor="R25" w:history="1">
        <w:r w:rsidRPr="00811CEB">
          <w:rPr>
            <w:rStyle w:val="a7"/>
          </w:rPr>
          <w:t>25</w:t>
        </w:r>
      </w:hyperlink>
      <w:r w:rsidRPr="00811CEB">
        <w:t>] or by custom-ordered magnetic multiplex cytokine kit (Bio-Rad Laboratories; Hercules, CA) according to manufacturer’s protocol.</w:t>
      </w:r>
    </w:p>
    <w:p w14:paraId="0A33B695" w14:textId="77777777" w:rsidR="00811CEB" w:rsidRPr="00811CEB" w:rsidRDefault="00811CEB" w:rsidP="00811CEB">
      <w:r w:rsidRPr="00811CEB">
        <w:t>Measurement of GLT-1 and GS</w:t>
      </w:r>
    </w:p>
    <w:p w14:paraId="7CF02CA5" w14:textId="77777777" w:rsidR="00811CEB" w:rsidRPr="00811CEB" w:rsidRDefault="00811CEB" w:rsidP="00811CEB">
      <w:r w:rsidRPr="00811CEB">
        <w:t>Cytosolic fractions and P2 membranes were obtained as previously described [</w:t>
      </w:r>
      <w:hyperlink r:id="rId294" w:anchor="R38" w:history="1">
        <w:r w:rsidRPr="00811CEB">
          <w:rPr>
            <w:rStyle w:val="a7"/>
          </w:rPr>
          <w:t>38</w:t>
        </w:r>
      </w:hyperlink>
      <w:r w:rsidRPr="00811CEB">
        <w:t>,</w:t>
      </w:r>
      <w:hyperlink r:id="rId295" w:anchor="R39" w:history="1">
        <w:r w:rsidRPr="00811CEB">
          <w:rPr>
            <w:rStyle w:val="a7"/>
          </w:rPr>
          <w:t>39</w:t>
        </w:r>
      </w:hyperlink>
      <w:r w:rsidRPr="00811CEB">
        <w:t>] and stored immediately at -80°C. Immunoprecipitation and Western blot analyses were performed as described previously [</w:t>
      </w:r>
      <w:hyperlink r:id="rId296" w:anchor="R38" w:history="1">
        <w:r w:rsidRPr="00811CEB">
          <w:rPr>
            <w:rStyle w:val="a7"/>
          </w:rPr>
          <w:t>38</w:t>
        </w:r>
      </w:hyperlink>
      <w:r w:rsidRPr="00811CEB">
        <w:t>,</w:t>
      </w:r>
      <w:hyperlink r:id="rId297" w:anchor="R39" w:history="1">
        <w:r w:rsidRPr="00811CEB">
          <w:rPr>
            <w:rStyle w:val="a7"/>
          </w:rPr>
          <w:t>39</w:t>
        </w:r>
      </w:hyperlink>
      <w:r w:rsidRPr="00811CEB">
        <w:t xml:space="preserve">]. Proteins were resolved with 7.5% (GLT-1), or 10% (GS) SDS-PAGE and </w:t>
      </w:r>
      <w:proofErr w:type="spellStart"/>
      <w:r w:rsidRPr="00811CEB">
        <w:t>electrophoretically</w:t>
      </w:r>
      <w:proofErr w:type="spellEnd"/>
      <w:r w:rsidRPr="00811CEB">
        <w:t xml:space="preserve"> transferred to PVDF membrane. The membranes were probed with mouse monoclonal anti-glutamine synthetase (1:2000) or polyclonal rabbit anti-</w:t>
      </w:r>
      <w:r w:rsidRPr="00811CEB">
        <w:lastRenderedPageBreak/>
        <w:t xml:space="preserve">GLT-1 (1:1000). Membranes were visualized with horseradish peroxidase-conjugated secondary antibodies (1 h, RT) and enhanced chemiluminescence. Rat brain lysate containing our proteins of interest was used as positive control. The blots were stripped and probed with a murine monoclonal anti-β-actin antibody (1:2000). The relative density of the protein bands of interest was determined from film using </w:t>
      </w:r>
      <w:proofErr w:type="spellStart"/>
      <w:r w:rsidRPr="00811CEB">
        <w:t>ImageQuant</w:t>
      </w:r>
      <w:proofErr w:type="spellEnd"/>
      <w:r w:rsidRPr="00811CEB">
        <w:t xml:space="preserve"> 5.2 software (Molecular Dynamics) and normalized to β-actin bands.</w:t>
      </w:r>
    </w:p>
    <w:p w14:paraId="2A232030" w14:textId="6E1DB7EA" w:rsidR="00AE3B34" w:rsidRDefault="00811CEB" w:rsidP="00AE3B34">
      <w:r>
        <w:rPr>
          <w:rFonts w:hint="eastAsia"/>
        </w:rPr>
        <w:br w:type="page"/>
      </w:r>
      <w:r w:rsidR="007E6B56">
        <w:lastRenderedPageBreak/>
        <w:t xml:space="preserve">40. </w:t>
      </w:r>
      <w:hyperlink r:id="rId298" w:history="1">
        <w:r w:rsidR="00AE3B34">
          <w:rPr>
            <w:rStyle w:val="a7"/>
          </w:rPr>
          <w:t>A distinct neuronal ensemble of prelimbic cortex mediates spontaneous pain in rats with peripheral inflammation | Nature Communications</w:t>
        </w:r>
      </w:hyperlink>
    </w:p>
    <w:p w14:paraId="20968DD5" w14:textId="77777777" w:rsidR="00AE3B34" w:rsidRDefault="00AE3B34" w:rsidP="00AE3B34"/>
    <w:p w14:paraId="4ACBE74A" w14:textId="77777777" w:rsidR="00AE3B34" w:rsidRDefault="00AE3B34" w:rsidP="00AE3B34">
      <w:r>
        <w:rPr>
          <w:rFonts w:hint="eastAsia"/>
        </w:rPr>
        <w:t>Behavioral test: spontaneous paw lifting</w:t>
      </w:r>
    </w:p>
    <w:p w14:paraId="0B74E398" w14:textId="77777777" w:rsidR="00AE3B34" w:rsidRDefault="00AE3B34" w:rsidP="00AE3B34">
      <w:r>
        <w:t>Rats were placed in a transparent plastic chamber (30</w:t>
      </w:r>
      <w:r>
        <w:rPr>
          <w:rFonts w:ascii="MS Gothic" w:eastAsia="MS Gothic" w:hAnsi="MS Gothic" w:cs="MS Gothic" w:hint="eastAsia"/>
        </w:rPr>
        <w:t> </w:t>
      </w:r>
      <w:r>
        <w:t>cm</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30</w:t>
      </w:r>
      <w:r>
        <w:rPr>
          <w:rFonts w:ascii="MS Gothic" w:eastAsia="MS Gothic" w:hAnsi="MS Gothic" w:cs="MS Gothic" w:hint="eastAsia"/>
        </w:rPr>
        <w:t> </w:t>
      </w:r>
      <w:r>
        <w:t>cm</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30</w:t>
      </w:r>
      <w:r>
        <w:rPr>
          <w:rFonts w:ascii="MS Gothic" w:eastAsia="MS Gothic" w:hAnsi="MS Gothic" w:cs="MS Gothic" w:hint="eastAsia"/>
        </w:rPr>
        <w:t> </w:t>
      </w:r>
      <w:r>
        <w:t>cm) and video-recorded for 30</w:t>
      </w:r>
      <w:r>
        <w:rPr>
          <w:rFonts w:ascii="MS Gothic" w:eastAsia="MS Gothic" w:hAnsi="MS Gothic" w:cs="MS Gothic" w:hint="eastAsia"/>
        </w:rPr>
        <w:t> </w:t>
      </w:r>
      <w:r>
        <w:t xml:space="preserve">min. CFA- and SNI-induced spontaneous nociceptive behavior was analyzed by counting the time spent on lifting, licking and flinching of the injected </w:t>
      </w:r>
      <w:proofErr w:type="spellStart"/>
      <w:r>
        <w:t>hindpaw</w:t>
      </w:r>
      <w:proofErr w:type="spellEnd"/>
      <w:r>
        <w:t xml:space="preserve"> in this 30</w:t>
      </w:r>
      <w:r>
        <w:rPr>
          <w:rFonts w:ascii="MS Gothic" w:eastAsia="MS Gothic" w:hAnsi="MS Gothic" w:cs="MS Gothic" w:hint="eastAsia"/>
        </w:rPr>
        <w:t> </w:t>
      </w:r>
      <w:r>
        <w:t>min period. Locomotion behavior was according to the time of spatial displacement. Self-grooming was defined as the grooming of the face and body by the forepaws.</w:t>
      </w:r>
    </w:p>
    <w:p w14:paraId="1E4BEC4D" w14:textId="77777777" w:rsidR="00AE3B34" w:rsidRDefault="00AE3B34" w:rsidP="00AE3B34"/>
    <w:p w14:paraId="61B514A5" w14:textId="77777777" w:rsidR="00AE3B34" w:rsidRDefault="00AE3B34" w:rsidP="00AE3B34">
      <w:r>
        <w:rPr>
          <w:rFonts w:hint="eastAsia"/>
        </w:rPr>
        <w:t>Behavioral test: real-time place avoidance (RTPA)</w:t>
      </w:r>
    </w:p>
    <w:p w14:paraId="7AE5F380" w14:textId="77777777" w:rsidR="00AE3B34" w:rsidRDefault="00AE3B34" w:rsidP="00AE3B34">
      <w:r>
        <w:t>The CPA apparatus was a circular arena 80</w:t>
      </w:r>
      <w:r>
        <w:rPr>
          <w:rFonts w:ascii="MS Gothic" w:eastAsia="MS Gothic" w:hAnsi="MS Gothic" w:cs="MS Gothic" w:hint="eastAsia"/>
        </w:rPr>
        <w:t> </w:t>
      </w:r>
      <w:r>
        <w:t>cm in diameter which was artificially divided into two semicircles and rats were allowed to move freely for 45</w:t>
      </w:r>
      <w:r>
        <w:rPr>
          <w:rFonts w:ascii="MS Gothic" w:eastAsia="MS Gothic" w:hAnsi="MS Gothic" w:cs="MS Gothic" w:hint="eastAsia"/>
        </w:rPr>
        <w:t> </w:t>
      </w:r>
      <w:r>
        <w:t>min in a dimly lit room containing white noise (~60</w:t>
      </w:r>
      <w:r>
        <w:rPr>
          <w:rFonts w:ascii="MS Gothic" w:eastAsia="MS Gothic" w:hAnsi="MS Gothic" w:cs="MS Gothic" w:hint="eastAsia"/>
        </w:rPr>
        <w:t> </w:t>
      </w:r>
      <w:r>
        <w:t>dB). Movement was tracked by the video camera posit</w:t>
      </w:r>
      <w:r>
        <w:rPr>
          <w:rFonts w:hint="eastAsia"/>
        </w:rPr>
        <w:t xml:space="preserve">ioned above the arena. Entry into one semicircle resulted in </w:t>
      </w:r>
      <w:proofErr w:type="spellStart"/>
      <w:r>
        <w:rPr>
          <w:rFonts w:hint="eastAsia"/>
        </w:rPr>
        <w:t>photostimulation</w:t>
      </w:r>
      <w:proofErr w:type="spellEnd"/>
      <w:r>
        <w:rPr>
          <w:rFonts w:hint="eastAsia"/>
        </w:rPr>
        <w:t xml:space="preserve">. Stimulation and no-stimulation sides were counterbalanced between animals. The time spent in each zone was measured using the SMART software (version 2.5.21, </w:t>
      </w:r>
      <w:proofErr w:type="spellStart"/>
      <w:r>
        <w:rPr>
          <w:rFonts w:hint="eastAsia"/>
        </w:rPr>
        <w:t>Panlab</w:t>
      </w:r>
      <w:proofErr w:type="spellEnd"/>
      <w:r>
        <w:rPr>
          <w:rFonts w:hint="eastAsia"/>
        </w:rPr>
        <w:t>, SMART Video tracking, Harvard Apparatus). The arena was cleaned with 75% ethanol between tests.</w:t>
      </w:r>
    </w:p>
    <w:p w14:paraId="62BB757A" w14:textId="77777777" w:rsidR="00AE3B34" w:rsidRDefault="00AE3B34" w:rsidP="00AE3B34"/>
    <w:p w14:paraId="4C96AC73" w14:textId="77777777" w:rsidR="00AE3B34" w:rsidRDefault="00AE3B34" w:rsidP="00AE3B34">
      <w:r>
        <w:rPr>
          <w:rFonts w:hint="eastAsia"/>
        </w:rPr>
        <w:t>Behavioral test: conditioned place preference (CPP)</w:t>
      </w:r>
    </w:p>
    <w:p w14:paraId="4B629D88" w14:textId="77777777" w:rsidR="00AE3B34" w:rsidRDefault="00AE3B34" w:rsidP="00AE3B34">
      <w:r>
        <w:t>The CPP apparatus was a three-chamber box with a middle chamber (10</w:t>
      </w:r>
      <w:r>
        <w:rPr>
          <w:rFonts w:ascii="MS Gothic" w:eastAsia="MS Gothic" w:hAnsi="MS Gothic" w:cs="MS Gothic" w:hint="eastAsia"/>
        </w:rPr>
        <w:t> </w:t>
      </w:r>
      <w:r>
        <w:t>cm</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30</w:t>
      </w:r>
      <w:r>
        <w:rPr>
          <w:rFonts w:ascii="MS Gothic" w:eastAsia="MS Gothic" w:hAnsi="MS Gothic" w:cs="MS Gothic" w:hint="eastAsia"/>
        </w:rPr>
        <w:t> </w:t>
      </w:r>
      <w:r>
        <w:t>cm</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30</w:t>
      </w:r>
      <w:r>
        <w:rPr>
          <w:rFonts w:ascii="MS Gothic" w:eastAsia="MS Gothic" w:hAnsi="MS Gothic" w:cs="MS Gothic" w:hint="eastAsia"/>
        </w:rPr>
        <w:t> </w:t>
      </w:r>
      <w:r>
        <w:t>cm) which could be opened or closed off to either of two end chambers (30</w:t>
      </w:r>
      <w:r>
        <w:rPr>
          <w:rFonts w:ascii="MS Gothic" w:eastAsia="MS Gothic" w:hAnsi="MS Gothic" w:cs="MS Gothic" w:hint="eastAsia"/>
        </w:rPr>
        <w:t> </w:t>
      </w:r>
      <w:r>
        <w:t>cm</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30</w:t>
      </w:r>
      <w:r>
        <w:rPr>
          <w:rFonts w:ascii="MS Gothic" w:eastAsia="MS Gothic" w:hAnsi="MS Gothic" w:cs="MS Gothic" w:hint="eastAsia"/>
        </w:rPr>
        <w:t> </w:t>
      </w:r>
      <w:r>
        <w:t>cm</w:t>
      </w:r>
      <w:r>
        <w:rPr>
          <w:rFonts w:ascii="MS Gothic" w:eastAsia="MS Gothic" w:hAnsi="MS Gothic" w:cs="MS Gothic" w:hint="eastAsia"/>
        </w:rPr>
        <w:t> </w:t>
      </w:r>
      <w:r>
        <w:rPr>
          <w:rFonts w:ascii="等线" w:eastAsia="等线" w:hAnsi="等线" w:cs="等线" w:hint="eastAsia"/>
        </w:rPr>
        <w:t>×</w:t>
      </w:r>
      <w:r>
        <w:rPr>
          <w:rFonts w:ascii="MS Gothic" w:eastAsia="MS Gothic" w:hAnsi="MS Gothic" w:cs="MS Gothic" w:hint="eastAsia"/>
        </w:rPr>
        <w:t> </w:t>
      </w:r>
      <w:r>
        <w:t>30</w:t>
      </w:r>
      <w:r>
        <w:rPr>
          <w:rFonts w:ascii="MS Gothic" w:eastAsia="MS Gothic" w:hAnsi="MS Gothic" w:cs="MS Gothic" w:hint="eastAsia"/>
        </w:rPr>
        <w:t> </w:t>
      </w:r>
      <w:r>
        <w:t>cm). The two end-chambers were differentiated by distinct visual and tactile featu</w:t>
      </w:r>
      <w:r>
        <w:rPr>
          <w:rFonts w:hint="eastAsia"/>
        </w:rPr>
        <w:t>res.</w:t>
      </w:r>
    </w:p>
    <w:p w14:paraId="21423782" w14:textId="77777777" w:rsidR="00AE3B34" w:rsidRDefault="00AE3B34" w:rsidP="00AE3B34"/>
    <w:p w14:paraId="04584C8C" w14:textId="77777777" w:rsidR="00AE3B34" w:rsidRDefault="00AE3B34" w:rsidP="00AE3B34">
      <w:r>
        <w:t>During the preconditioning session, the rats were released to freely explore the apparatus for 15</w:t>
      </w:r>
      <w:r>
        <w:rPr>
          <w:rFonts w:ascii="MS Gothic" w:eastAsia="MS Gothic" w:hAnsi="MS Gothic" w:cs="MS Gothic" w:hint="eastAsia"/>
        </w:rPr>
        <w:t> </w:t>
      </w:r>
      <w:r>
        <w:t xml:space="preserve">min. During the conditioning session, rats underwent </w:t>
      </w:r>
      <w:r>
        <w:rPr>
          <w:rFonts w:ascii="等线" w:eastAsia="等线" w:hAnsi="等线" w:cs="等线" w:hint="eastAsia"/>
        </w:rPr>
        <w:t>“</w:t>
      </w:r>
      <w:r>
        <w:t>pairing</w:t>
      </w:r>
      <w:r>
        <w:rPr>
          <w:rFonts w:ascii="等线" w:eastAsia="等线" w:hAnsi="等线" w:cs="等线" w:hint="eastAsia"/>
        </w:rPr>
        <w:t>”</w:t>
      </w:r>
      <w:r>
        <w:t xml:space="preserve"> where they were individually restricted to one end chamber after receiving vehicle injection for 30</w:t>
      </w:r>
      <w:r>
        <w:rPr>
          <w:rFonts w:ascii="MS Gothic" w:eastAsia="MS Gothic" w:hAnsi="MS Gothic" w:cs="MS Gothic" w:hint="eastAsia"/>
        </w:rPr>
        <w:t> </w:t>
      </w:r>
      <w:r>
        <w:t>min in the morning. Four hours after vehicle injection, they were restricted to the other end chamber for 30</w:t>
      </w:r>
      <w:r>
        <w:rPr>
          <w:rFonts w:ascii="MS Gothic" w:eastAsia="MS Gothic" w:hAnsi="MS Gothic" w:cs="MS Gothic" w:hint="eastAsia"/>
        </w:rPr>
        <w:t> </w:t>
      </w:r>
      <w:r>
        <w:t>min after receiving the CNO injection. Chamber pairing was counterbalanced in different rats. On the test day, rats were allowed to explore all chambers for 15</w:t>
      </w:r>
      <w:r>
        <w:rPr>
          <w:rFonts w:ascii="MS Gothic" w:eastAsia="MS Gothic" w:hAnsi="MS Gothic" w:cs="MS Gothic" w:hint="eastAsia"/>
        </w:rPr>
        <w:t> </w:t>
      </w:r>
      <w:r>
        <w:t>min.</w:t>
      </w:r>
    </w:p>
    <w:p w14:paraId="4A7D53ED" w14:textId="77777777" w:rsidR="00AE3B34" w:rsidRDefault="00AE3B34" w:rsidP="00AE3B34"/>
    <w:p w14:paraId="4509865C" w14:textId="77777777" w:rsidR="00AE3B34" w:rsidRDefault="00AE3B34" w:rsidP="00AE3B34">
      <w:r>
        <w:rPr>
          <w:rFonts w:hint="eastAsia"/>
        </w:rPr>
        <w:t>CPP score was calculated as follow:</w:t>
      </w:r>
    </w:p>
    <w:p w14:paraId="19745A68" w14:textId="77777777" w:rsidR="00AE3B34" w:rsidRDefault="00AE3B34" w:rsidP="00AE3B34"/>
    <w:p w14:paraId="1FBCF93C" w14:textId="77777777" w:rsidR="00AE3B34" w:rsidRDefault="00AE3B34" w:rsidP="00AE3B34">
      <w:r>
        <w:rPr>
          <w:rFonts w:hint="eastAsia"/>
        </w:rPr>
        <w:t>{{{{\</w:t>
      </w:r>
      <w:proofErr w:type="gramStart"/>
      <w:r>
        <w:rPr>
          <w:rFonts w:hint="eastAsia"/>
        </w:rPr>
        <w:t>rm{</w:t>
      </w:r>
      <w:proofErr w:type="gramEnd"/>
      <w:r>
        <w:rPr>
          <w:rFonts w:hint="eastAsia"/>
        </w:rPr>
        <w:t>CPP}}}}\; {{{\rm{score}}}}}=\frac{{{{{\rm{T}}}}\; {{{\rm{test}}}}}{{{\, - \, }}}{{{{\rm{T}}}}\; {{{\rm{preconditioning}}}}}}{{{{{\rm{T}}}}\; {{{\rm{preconditioning}}}}}}\times 100\%</w:t>
      </w:r>
      <w:r>
        <w:rPr>
          <w:rFonts w:hint="eastAsia"/>
        </w:rPr>
        <w:tab/>
        <w:t>(3)</w:t>
      </w:r>
    </w:p>
    <w:p w14:paraId="2FB24824" w14:textId="77777777" w:rsidR="00AE3B34" w:rsidRDefault="00AE3B34" w:rsidP="00AE3B34">
      <w:proofErr w:type="spellStart"/>
      <w:r>
        <w:rPr>
          <w:rFonts w:hint="eastAsia"/>
        </w:rPr>
        <w:t>Ttest</w:t>
      </w:r>
      <w:proofErr w:type="spellEnd"/>
      <w:r>
        <w:rPr>
          <w:rFonts w:hint="eastAsia"/>
        </w:rPr>
        <w:t xml:space="preserve"> was the time in the drug-paired chamber on the test day. </w:t>
      </w:r>
      <w:proofErr w:type="spellStart"/>
      <w:r>
        <w:rPr>
          <w:rFonts w:hint="eastAsia"/>
        </w:rPr>
        <w:t>Tpreconditioning</w:t>
      </w:r>
      <w:proofErr w:type="spellEnd"/>
      <w:r>
        <w:rPr>
          <w:rFonts w:hint="eastAsia"/>
        </w:rPr>
        <w:t xml:space="preserve"> represented the time in the drug-paired chamber on the preconditioning day.</w:t>
      </w:r>
    </w:p>
    <w:p w14:paraId="658662A5" w14:textId="77777777" w:rsidR="00AE3B34" w:rsidRDefault="00AE3B34" w:rsidP="00AE3B34"/>
    <w:p w14:paraId="6F833E69" w14:textId="77777777" w:rsidR="00AE3B34" w:rsidRDefault="00AE3B34" w:rsidP="00AE3B34">
      <w:r>
        <w:rPr>
          <w:rFonts w:hint="eastAsia"/>
        </w:rPr>
        <w:t>Behavioral test: evoked nociceptive responses</w:t>
      </w:r>
    </w:p>
    <w:p w14:paraId="18FE469F" w14:textId="77777777" w:rsidR="00AE3B34" w:rsidRDefault="00AE3B34" w:rsidP="00AE3B34">
      <w:r>
        <w:t>Each rat was adapted in a Plexiglas box for 30</w:t>
      </w:r>
      <w:r>
        <w:rPr>
          <w:rFonts w:ascii="MS Gothic" w:eastAsia="MS Gothic" w:hAnsi="MS Gothic" w:cs="MS Gothic" w:hint="eastAsia"/>
        </w:rPr>
        <w:t> </w:t>
      </w:r>
      <w:r>
        <w:t>min per day for three consecutive days before measurement. Paw withdrawal latencies (PWLs) were measured by a focused radiant heat (40</w:t>
      </w:r>
      <w:r>
        <w:rPr>
          <w:rFonts w:ascii="MS Gothic" w:eastAsia="MS Gothic" w:hAnsi="MS Gothic" w:cs="MS Gothic" w:hint="eastAsia"/>
        </w:rPr>
        <w:t> </w:t>
      </w:r>
      <w:r>
        <w:t xml:space="preserve">W of power) applied to either </w:t>
      </w:r>
      <w:proofErr w:type="spellStart"/>
      <w:r>
        <w:t>hindpaw</w:t>
      </w:r>
      <w:proofErr w:type="spellEnd"/>
      <w:r>
        <w:t xml:space="preserve"> (Hargreaves Method, IITC 390). PWLs were recorded three times and averaged as the thermal pain threshold. A cut-off value of 30</w:t>
      </w:r>
      <w:r>
        <w:rPr>
          <w:rFonts w:ascii="MS Gothic" w:eastAsia="MS Gothic" w:hAnsi="MS Gothic" w:cs="MS Gothic" w:hint="eastAsia"/>
        </w:rPr>
        <w:t> </w:t>
      </w:r>
      <w:r>
        <w:t xml:space="preserve">s was set to </w:t>
      </w:r>
      <w:r>
        <w:lastRenderedPageBreak/>
        <w:t>avoid possible tissue injury. Fifty percent paw withdrawal thresholds (50% PWTs) were measured by von Frey hairs (0.41 to 15.1</w:t>
      </w:r>
      <w:r>
        <w:rPr>
          <w:rFonts w:ascii="MS Gothic" w:eastAsia="MS Gothic" w:hAnsi="MS Gothic" w:cs="MS Gothic" w:hint="eastAsia"/>
        </w:rPr>
        <w:t> </w:t>
      </w:r>
      <w:r>
        <w:t xml:space="preserve">g; North Coast, Gilroy, </w:t>
      </w:r>
      <w:r>
        <w:rPr>
          <w:rFonts w:hint="eastAsia"/>
        </w:rPr>
        <w:t xml:space="preserve">CA, USA) applied to the central plantar surface of either </w:t>
      </w:r>
      <w:proofErr w:type="spellStart"/>
      <w:r>
        <w:rPr>
          <w:rFonts w:hint="eastAsia"/>
        </w:rPr>
        <w:t>hindpaw</w:t>
      </w:r>
      <w:proofErr w:type="spellEnd"/>
      <w:r>
        <w:rPr>
          <w:rFonts w:hint="eastAsia"/>
        </w:rPr>
        <w:t>. The 50% PWTs were calculated by the “up and down” method.</w:t>
      </w:r>
    </w:p>
    <w:p w14:paraId="6DE7FAA1" w14:textId="77777777" w:rsidR="00AE3B34" w:rsidRDefault="00AE3B34" w:rsidP="00AE3B34"/>
    <w:p w14:paraId="7786ED84" w14:textId="77777777" w:rsidR="00AE3B34" w:rsidRDefault="00AE3B34" w:rsidP="00AE3B34"/>
    <w:p w14:paraId="0E52EB0D" w14:textId="4755650D" w:rsidR="00AE3B34" w:rsidRDefault="007E6B56" w:rsidP="00AE3B34">
      <w:r>
        <w:t xml:space="preserve">41 </w:t>
      </w:r>
      <w:hyperlink r:id="rId299" w:history="1">
        <w:r w:rsidRPr="00D11D02">
          <w:rPr>
            <w:rStyle w:val="a7"/>
            <w:rFonts w:hint="eastAsia"/>
          </w:rPr>
          <w:t>https://linkinghub.elsevier.com/retrieve/pii/S0896-6273(21)00834-5</w:t>
        </w:r>
      </w:hyperlink>
    </w:p>
    <w:p w14:paraId="1E0FFC36" w14:textId="77777777" w:rsidR="00AE3B34" w:rsidRDefault="004A5E23" w:rsidP="00AE3B34">
      <w:hyperlink r:id="rId300" w:history="1">
        <w:r w:rsidR="00AE3B34">
          <w:rPr>
            <w:rStyle w:val="a7"/>
          </w:rPr>
          <w:t>Synchronized cluster firing, a distinct form of sensory neuron activation, drives spontaneous pain - PubMed</w:t>
        </w:r>
      </w:hyperlink>
    </w:p>
    <w:p w14:paraId="664B56B7" w14:textId="77777777" w:rsidR="00AE3B34" w:rsidRDefault="00AE3B34" w:rsidP="00AE3B34"/>
    <w:p w14:paraId="734AA609" w14:textId="77777777" w:rsidR="00AE3B34" w:rsidRDefault="00AE3B34" w:rsidP="00AE3B34">
      <w:r>
        <w:rPr>
          <w:rFonts w:hint="eastAsia"/>
        </w:rPr>
        <w:t>Withdrawal threshold to mechanical stimulation</w:t>
      </w:r>
    </w:p>
    <w:p w14:paraId="11D09544" w14:textId="77777777" w:rsidR="00AE3B34" w:rsidRDefault="00AE3B34" w:rsidP="00AE3B34">
      <w:r>
        <w:rPr>
          <w:rFonts w:hint="eastAsia"/>
        </w:rPr>
        <w:t>To assess mechanical allodynia, naive and SNI mice at day 20 after surgery were placed in a closed plexiglass chamber with a mesh floor through which stimulus probes could be applied. After a period of acclimation, calibrated Von Frey filaments (0.07 and 0</w:t>
      </w:r>
      <w:r>
        <w:t>.4 g) were applied to the ipsilateral hind paw for approximately 1</w:t>
      </w:r>
      <w:r>
        <w:rPr>
          <w:rFonts w:ascii="MS Gothic" w:eastAsia="MS Gothic" w:hAnsi="MS Gothic" w:cs="MS Gothic" w:hint="eastAsia"/>
        </w:rPr>
        <w:t> </w:t>
      </w:r>
      <w:r>
        <w:t>s. Each stimulation was repeated 10 times, and paw withdrawal frequency was determined as described previously (Guan et al., 2010).</w:t>
      </w:r>
    </w:p>
    <w:p w14:paraId="09FB1E0F" w14:textId="77777777" w:rsidR="00AE3B34" w:rsidRDefault="00AE3B34" w:rsidP="00AE3B34">
      <w:r>
        <w:rPr>
          <w:rFonts w:hint="eastAsia"/>
        </w:rPr>
        <w:t>Spontaneous pain behavior observation</w:t>
      </w:r>
    </w:p>
    <w:p w14:paraId="01BCDC73" w14:textId="77777777" w:rsidR="00AE3B34" w:rsidRDefault="00AE3B34" w:rsidP="00AE3B34"/>
    <w:p w14:paraId="4561E7B1" w14:textId="77777777" w:rsidR="00AE3B34" w:rsidRDefault="00AE3B34" w:rsidP="00AE3B34">
      <w:r>
        <w:rPr>
          <w:rFonts w:hint="eastAsia"/>
        </w:rPr>
        <w:t>To examine spontaneous pain behavior, animals were placed in individual plexiglass containers and videotaped for 60 minutes. The video recording was subsequently played back in slow motion and the number of bouts of licking and flinching/shaking/lifting with the ipsilateral hind paw was counted. Movements associated with exploratory behavior, locomotion, body repositioning, and grooming were excluded. One bout of licking was counted as 2 points, and one bout of flinching/shaking/lifting was counted as 1 point, and the total number of points for the 1-hour recording was used as the spontaneous pain score (</w:t>
      </w:r>
      <w:proofErr w:type="spellStart"/>
      <w:r>
        <w:rPr>
          <w:rFonts w:hint="eastAsia"/>
        </w:rPr>
        <w:t>Dubuisson</w:t>
      </w:r>
      <w:proofErr w:type="spellEnd"/>
      <w:r>
        <w:rPr>
          <w:rFonts w:hint="eastAsia"/>
        </w:rPr>
        <w:t xml:space="preserve"> and Dennis, 1977; Jourdan et al., 1997).</w:t>
      </w:r>
    </w:p>
    <w:p w14:paraId="580248D1" w14:textId="77777777" w:rsidR="00AE3B34" w:rsidRDefault="00AE3B34" w:rsidP="00AE3B34"/>
    <w:p w14:paraId="6AB070C3" w14:textId="77777777" w:rsidR="00AE3B34" w:rsidRDefault="00AE3B34" w:rsidP="00AE3B34"/>
    <w:p w14:paraId="0DE2C5D4" w14:textId="1D3590AB" w:rsidR="00AE3B34" w:rsidRDefault="007E6B56" w:rsidP="00AE3B34">
      <w:r>
        <w:t xml:space="preserve">42. </w:t>
      </w:r>
      <w:hyperlink r:id="rId301" w:history="1">
        <w:r w:rsidR="00AE3B34">
          <w:rPr>
            <w:rStyle w:val="a7"/>
          </w:rPr>
          <w:t>Spontaneous Pain Disrupts Ventral Hippocampal CA1-Infralimbic Cortex Connectivity and Modulates Pain Progression in Rats with Peripheral Inflammation - PubMed</w:t>
        </w:r>
      </w:hyperlink>
    </w:p>
    <w:p w14:paraId="4FCC1973" w14:textId="77777777" w:rsidR="00AE3B34" w:rsidRDefault="00AE3B34" w:rsidP="00AE3B34">
      <w:r w:rsidRPr="002E4A74">
        <w:rPr>
          <w:rFonts w:hint="eastAsia"/>
        </w:rPr>
        <w:t>Spontaneous pain disrupts ventral hippocampal CA1-infralimbic cortex connectivity and modulates pain progression in rats with peripheral inflammation</w:t>
      </w:r>
    </w:p>
    <w:p w14:paraId="63F93CE6" w14:textId="77777777" w:rsidR="00AE3B34" w:rsidRDefault="00AE3B34" w:rsidP="00AE3B34"/>
    <w:p w14:paraId="6BA22183" w14:textId="77777777" w:rsidR="00AE3B34" w:rsidRDefault="00AE3B34" w:rsidP="00AE3B34">
      <w:r>
        <w:rPr>
          <w:rFonts w:hint="eastAsia"/>
        </w:rPr>
        <w:t>Behavioral test: spontaneous paw lifting</w:t>
      </w:r>
    </w:p>
    <w:p w14:paraId="45EC9640" w14:textId="77777777" w:rsidR="00AE3B34" w:rsidRDefault="00AE3B34" w:rsidP="00AE3B34">
      <w:r>
        <w:rPr>
          <w:rFonts w:hint="eastAsia"/>
        </w:rPr>
        <w:t>Each rat was handled by the experimenter for 10 min/day for three consecutive days before behavioral testing. Experimenters were blind from animal grouping.</w:t>
      </w:r>
    </w:p>
    <w:p w14:paraId="204CF23D" w14:textId="77777777" w:rsidR="00AE3B34" w:rsidRDefault="00AE3B34" w:rsidP="00AE3B34">
      <w:r>
        <w:rPr>
          <w:rFonts w:hint="eastAsia"/>
        </w:rPr>
        <w:t xml:space="preserve">Spontaneous nociceptive behavior was measured 1 day before and 1, 3, 6, 9 and 12 days after CFA injection. Rats were placed in a transparent plastic chamber (30 cm × 30 cm × 30 cm) and video-recorded for 30 min. CFA-induced spontaneous nociceptive behavior was analyzed by counting the time spent on lifting, licking, and flinching of the injected </w:t>
      </w:r>
      <w:proofErr w:type="spellStart"/>
      <w:r>
        <w:rPr>
          <w:rFonts w:hint="eastAsia"/>
        </w:rPr>
        <w:t>hindpaw</w:t>
      </w:r>
      <w:proofErr w:type="spellEnd"/>
      <w:r>
        <w:rPr>
          <w:rFonts w:hint="eastAsia"/>
        </w:rPr>
        <w:t xml:space="preserve"> in this 30 min period (</w:t>
      </w:r>
      <w:proofErr w:type="spellStart"/>
      <w:r>
        <w:rPr>
          <w:rFonts w:hint="eastAsia"/>
        </w:rPr>
        <w:t>Djouhri</w:t>
      </w:r>
      <w:proofErr w:type="spellEnd"/>
      <w:r>
        <w:rPr>
          <w:rFonts w:hint="eastAsia"/>
        </w:rPr>
        <w:t xml:space="preserve"> et al., 2006, Lee et al., 2018).</w:t>
      </w:r>
    </w:p>
    <w:p w14:paraId="42F5D199" w14:textId="77777777" w:rsidR="00AE3B34" w:rsidRPr="00A77E84" w:rsidRDefault="00AE3B34" w:rsidP="00AE3B34">
      <w:pPr>
        <w:rPr>
          <w:b/>
          <w:bCs/>
        </w:rPr>
      </w:pPr>
      <w:r w:rsidRPr="00A77E84">
        <w:rPr>
          <w:rFonts w:hint="eastAsia"/>
          <w:b/>
          <w:bCs/>
        </w:rPr>
        <w:t>Behavioral test: conditioned place preference (CPP)</w:t>
      </w:r>
    </w:p>
    <w:p w14:paraId="6B76A057" w14:textId="77777777" w:rsidR="00AE3B34" w:rsidRDefault="00AE3B34" w:rsidP="00AE3B34">
      <w:r>
        <w:rPr>
          <w:rFonts w:hint="eastAsia"/>
        </w:rPr>
        <w:t xml:space="preserve">The CPP apparatus was a three-chamber box with a middle chamber (10 cm × 30 cm × 30 cm) which could be opened or closed off to either of two end chambers (30 cm × 30 cm × </w:t>
      </w:r>
      <w:r>
        <w:rPr>
          <w:rFonts w:hint="eastAsia"/>
        </w:rPr>
        <w:lastRenderedPageBreak/>
        <w:t>30 cm). The two end-chambers were differentiated by distinct visual and tactile features (King et al., 2009, LeBlanc et al., 2016).</w:t>
      </w:r>
    </w:p>
    <w:p w14:paraId="40F20791" w14:textId="77777777" w:rsidR="00AE3B34" w:rsidRDefault="00AE3B34" w:rsidP="00AE3B34">
      <w:r>
        <w:rPr>
          <w:rFonts w:hint="eastAsia"/>
        </w:rPr>
        <w:t>During the preconditioning session (day 2 or day 8 post-CFA injection), the rats were released from the middle chamber to freely explore the apparatus for 15 min. Time spent in each chamber was recorded. Rats were excluded if they spent more than 70% of the time (&gt; 630 s) in any one chamber.</w:t>
      </w:r>
    </w:p>
    <w:p w14:paraId="20191720" w14:textId="77777777" w:rsidR="00AE3B34" w:rsidRDefault="00AE3B34" w:rsidP="00AE3B34">
      <w:r>
        <w:rPr>
          <w:rFonts w:hint="eastAsia"/>
        </w:rPr>
        <w:t>During the conditioning session (days 3–6 or days 9–12 post-CFA injection), rats underwent “pairing” where they were individually restricted to one end chamber after receiving vehicle injection for 30 min in the morning. Four hours after vehicle injection, they were restricted to the other end chamber for 30 min after receiving CNO (see below “</w:t>
      </w:r>
      <w:proofErr w:type="spellStart"/>
      <w:r>
        <w:rPr>
          <w:rFonts w:hint="eastAsia"/>
        </w:rPr>
        <w:t>chemogenetics</w:t>
      </w:r>
      <w:proofErr w:type="spellEnd"/>
      <w:r>
        <w:rPr>
          <w:rFonts w:hint="eastAsia"/>
        </w:rPr>
        <w:t xml:space="preserve">”) or morphine (2.5 mg/ml dissolved in sterile saline, 2.5 mg/kg, </w:t>
      </w:r>
      <w:proofErr w:type="spellStart"/>
      <w:r>
        <w:rPr>
          <w:rFonts w:hint="eastAsia"/>
        </w:rPr>
        <w:t>s.c.</w:t>
      </w:r>
      <w:proofErr w:type="spellEnd"/>
      <w:r>
        <w:rPr>
          <w:rFonts w:hint="eastAsia"/>
        </w:rPr>
        <w:t>, First Pharmaceutical Factory of Qinghai, China) injection (Hung et al., 2015). Chamber pairing was counterbalanced in different rats.</w:t>
      </w:r>
    </w:p>
    <w:p w14:paraId="7D98EB1B" w14:textId="77777777" w:rsidR="00AE3B34" w:rsidRDefault="00AE3B34" w:rsidP="00AE3B34">
      <w:r>
        <w:rPr>
          <w:rFonts w:hint="eastAsia"/>
        </w:rPr>
        <w:t>On the following test day (day 7 or day 13 post-CFA injection), rats were released from the middle chamber and allowed to explore all chambers for 15 min.</w:t>
      </w:r>
    </w:p>
    <w:p w14:paraId="6E806BC2" w14:textId="77777777" w:rsidR="00AE3B34" w:rsidRDefault="00AE3B34" w:rsidP="00AE3B34">
      <w:r>
        <w:rPr>
          <w:rFonts w:hint="eastAsia"/>
        </w:rPr>
        <w:t>CPP score was calculated as followed:</w:t>
      </w:r>
    </w:p>
    <w:p w14:paraId="4FB2E28B" w14:textId="77777777" w:rsidR="00AE3B34" w:rsidRDefault="00AE3B34" w:rsidP="00AE3B34">
      <w:r>
        <w:rPr>
          <w:rFonts w:hint="eastAsia"/>
        </w:rPr>
        <w:t>t test was the time in the drug-paired chamber on the test day. T preconditioning represented the time in the drug-paired chamber on the preconditioning day.</w:t>
      </w:r>
    </w:p>
    <w:p w14:paraId="1CA9CC16" w14:textId="77777777" w:rsidR="00AE3B34" w:rsidRPr="00A77E84" w:rsidRDefault="00AE3B34" w:rsidP="00AE3B34">
      <w:pPr>
        <w:rPr>
          <w:b/>
          <w:bCs/>
        </w:rPr>
      </w:pPr>
      <w:r w:rsidRPr="00A77E84">
        <w:rPr>
          <w:rFonts w:hint="eastAsia"/>
          <w:b/>
          <w:bCs/>
        </w:rPr>
        <w:t>Behavioral test: evoked nociceptive responses</w:t>
      </w:r>
    </w:p>
    <w:p w14:paraId="39071673" w14:textId="77777777" w:rsidR="00AE3B34" w:rsidRDefault="00AE3B34" w:rsidP="00AE3B34">
      <w:r>
        <w:rPr>
          <w:rFonts w:hint="eastAsia"/>
        </w:rPr>
        <w:t xml:space="preserve">Each rat was adapted in a </w:t>
      </w:r>
      <w:proofErr w:type="spellStart"/>
      <w:r>
        <w:rPr>
          <w:rFonts w:hint="eastAsia"/>
        </w:rPr>
        <w:t>plexiglas</w:t>
      </w:r>
      <w:proofErr w:type="spellEnd"/>
      <w:r>
        <w:rPr>
          <w:rFonts w:hint="eastAsia"/>
        </w:rPr>
        <w:t xml:space="preserve"> box for 30 min per day for three consecutive days before measurement. Thermal or mechanical pain thresholds were measured 1 day before and 1, 3, 6, 9, 12, 18, 24 and 30 days after CFA injection, while the rat stayed calm and awake.</w:t>
      </w:r>
    </w:p>
    <w:p w14:paraId="5FF504EE" w14:textId="77777777" w:rsidR="00AE3B34" w:rsidRDefault="00AE3B34" w:rsidP="00AE3B34">
      <w:r>
        <w:rPr>
          <w:rFonts w:hint="eastAsia"/>
        </w:rPr>
        <w:t xml:space="preserve">For thermal nociceptive response, paw withdrawal latencies (PWLs) were measured by a focused radiant heat (40 W of power) applied to either </w:t>
      </w:r>
      <w:proofErr w:type="spellStart"/>
      <w:r>
        <w:rPr>
          <w:rFonts w:hint="eastAsia"/>
        </w:rPr>
        <w:t>hindpaw</w:t>
      </w:r>
      <w:proofErr w:type="spellEnd"/>
      <w:r>
        <w:rPr>
          <w:rFonts w:hint="eastAsia"/>
        </w:rPr>
        <w:t xml:space="preserve"> (Hargreaves Method, IITC 390). PWLs were recorded three times and averaged as the thermal pain threshold. A cut-off value of 30 s was set to avoid possible tissue injury (Fan et al., 2018).</w:t>
      </w:r>
    </w:p>
    <w:p w14:paraId="55CAFF6B" w14:textId="77777777" w:rsidR="00AE3B34" w:rsidRDefault="00AE3B34" w:rsidP="00AE3B34">
      <w:r>
        <w:rPr>
          <w:rFonts w:hint="eastAsia"/>
        </w:rPr>
        <w:t xml:space="preserve">For mechanical nociceptive response, fifty percent paw withdrawal thresholds (50% PWTs) were measured by von Frey hairs (0.41 to 15.1 g; North Coast, Gilroy, CA, USA) applied to the central plantar surface of either </w:t>
      </w:r>
      <w:proofErr w:type="spellStart"/>
      <w:r>
        <w:rPr>
          <w:rFonts w:hint="eastAsia"/>
        </w:rPr>
        <w:t>hindpaw</w:t>
      </w:r>
      <w:proofErr w:type="spellEnd"/>
      <w:r>
        <w:rPr>
          <w:rFonts w:hint="eastAsia"/>
        </w:rPr>
        <w:t xml:space="preserve">. The 50% PWTs were calculated by the </w:t>
      </w:r>
      <w:proofErr w:type="gramStart"/>
      <w:r>
        <w:rPr>
          <w:rFonts w:hint="eastAsia"/>
        </w:rPr>
        <w:t>‘</w:t>
      </w:r>
      <w:proofErr w:type="gramEnd"/>
      <w:r>
        <w:rPr>
          <w:rFonts w:hint="eastAsia"/>
        </w:rPr>
        <w:t>‘up and down’’ method as described earlier (Fan et al., 2018).</w:t>
      </w:r>
    </w:p>
    <w:p w14:paraId="67B5875B" w14:textId="77777777" w:rsidR="00AE3B34" w:rsidRDefault="00AE3B34" w:rsidP="00AE3B34"/>
    <w:p w14:paraId="3A16A5F2" w14:textId="77777777" w:rsidR="00AE3B34" w:rsidRDefault="00AE3B34" w:rsidP="00AE3B34"/>
    <w:p w14:paraId="6E4A0B4E" w14:textId="0DCD7FE9" w:rsidR="00AE3B34" w:rsidRDefault="007E6B56" w:rsidP="00AE3B34">
      <w:r>
        <w:t xml:space="preserve">43. </w:t>
      </w:r>
      <w:hyperlink r:id="rId302" w:anchor="SEC4" w:history="1">
        <w:r w:rsidR="00AE3B34">
          <w:rPr>
            <w:rStyle w:val="a7"/>
          </w:rPr>
          <w:t>JCI - Highly synchronized cortical circuit dynamics mediate spontaneous pain in mice</w:t>
        </w:r>
      </w:hyperlink>
    </w:p>
    <w:p w14:paraId="29A0AAE5" w14:textId="77777777" w:rsidR="00AE3B34" w:rsidRDefault="00AE3B34" w:rsidP="00AE3B34"/>
    <w:p w14:paraId="13C8DAE7" w14:textId="77777777" w:rsidR="00AE3B34" w:rsidRDefault="00AE3B34" w:rsidP="00AE3B34">
      <w:r>
        <w:rPr>
          <w:rFonts w:hint="eastAsia"/>
        </w:rPr>
        <w:t>Mechanical withdrawal threshold. Mice were individually placed in a custom-made box (6 × 6 × 6 cm) with the top, bottom, and 4 walls made of metal mesh and were allowed free movement. After 30 minutes of acclimation, a graded series of von Frey filaments were inserted through the mesh walls from the lateral side and applied to the skin of the vibrissa pad within the trigeminal nerve V2 branch–innervated territory for 1 second at 10-second intervals. A brisk withdrawal of the head upon stimulation was considered a positive response. Mice were tested 5 times, with at least 3 positive responses indicating a positive result. The minimum force necessary to elicit a response was defined as the mechanical withdrawal threshold.</w:t>
      </w:r>
    </w:p>
    <w:p w14:paraId="1B827CE1" w14:textId="77777777" w:rsidR="00AE3B34" w:rsidRDefault="00AE3B34" w:rsidP="00AE3B34"/>
    <w:p w14:paraId="77FD769D" w14:textId="77777777" w:rsidR="00AE3B34" w:rsidRDefault="00AE3B34" w:rsidP="00AE3B34">
      <w:r>
        <w:rPr>
          <w:rFonts w:hint="eastAsia"/>
        </w:rPr>
        <w:lastRenderedPageBreak/>
        <w:t>Observation of face grooming and grimacing. For the facial grooming and grimacing test, each mouse was habituated for 30 minutes daily for up to 3 consecutive days in a 10 × 10 × 12 cm Plexiglass box equipped with a mirror to record unobstructed views of the orofacial area. The mouse behaviors were recorded for 10 minutes without any extra audio or physical disturbance. Grooming was defined as face-washing strokes primarily directed to the trigeminal nerve impingement side. Facial grimacing for this study was defined as asymmetrical eyelid contraction of the ipsilateral eye (same side as the trigeminal nerve compression) compared with the contralateral side, as determined by blinded observers. The recorded behaviors were analyzed by an experimenter who was blinded to the procedure and group assignments of the mice.</w:t>
      </w:r>
    </w:p>
    <w:p w14:paraId="51BC4BB0" w14:textId="77777777" w:rsidR="00AE3B34" w:rsidRDefault="00AE3B34" w:rsidP="00AE3B34"/>
    <w:p w14:paraId="3FB07315" w14:textId="77777777" w:rsidR="00AE3B34" w:rsidRDefault="00AE3B34" w:rsidP="00AE3B34">
      <w:r>
        <w:rPr>
          <w:rFonts w:hint="eastAsia"/>
        </w:rPr>
        <w:t>Food preference. Mice were deprived of food 12 hours prior to the test, with water accessible ad libitum. To prepare the soft chow, regular solid chow was soaked in water (pellets: water = 1: ~2 g) for 20 minutes. Regular solid chow and freshly prepared soft chow were placed on plates. The test mouse was videotaped using a camera 40 cm above the cage for 10 minutes. The time spent eating solid and soft chow in each video was quantified by experimenters who were blinded to group assignments.</w:t>
      </w:r>
    </w:p>
    <w:p w14:paraId="6F3BC5CB" w14:textId="77777777" w:rsidR="00AE3B34" w:rsidRDefault="00AE3B34" w:rsidP="00AE3B34"/>
    <w:p w14:paraId="631FDC6D" w14:textId="77777777" w:rsidR="00AE3B34" w:rsidRDefault="00AE3B34" w:rsidP="00AE3B34">
      <w:r>
        <w:rPr>
          <w:rFonts w:hint="eastAsia"/>
        </w:rPr>
        <w:t xml:space="preserve">Wood-chewing assay. Balsa wood blocks were custom-sized to </w:t>
      </w:r>
      <w:proofErr w:type="gramStart"/>
      <w:r>
        <w:rPr>
          <w:rFonts w:hint="eastAsia"/>
        </w:rPr>
        <w:t>1 inch</w:t>
      </w:r>
      <w:proofErr w:type="gramEnd"/>
      <w:r>
        <w:rPr>
          <w:rFonts w:hint="eastAsia"/>
        </w:rPr>
        <w:t xml:space="preserve"> cubes. Mice were housed in individual cages with food and water supplied ad libitum, and a wood block was placed in the cage for 24 hours. The weight of the block before and after placement in the cage was recorded.</w:t>
      </w:r>
    </w:p>
    <w:p w14:paraId="58584026" w14:textId="77777777" w:rsidR="00AE3B34" w:rsidRDefault="00AE3B34" w:rsidP="00AE3B34"/>
    <w:p w14:paraId="4CA1E9FD" w14:textId="77777777" w:rsidR="00AE3B34" w:rsidRDefault="00AE3B34" w:rsidP="00AE3B34">
      <w:r>
        <w:t xml:space="preserve">Behavioral composite z score. For a comprehensive assessment of several pain-related parameters, we used the following formula: z </w:t>
      </w:r>
      <w:r>
        <w:rPr>
          <w:rFonts w:ascii="MS Gothic" w:eastAsia="MS Gothic" w:hAnsi="MS Gothic" w:cs="MS Gothic" w:hint="eastAsia"/>
        </w:rPr>
        <w:t> </w:t>
      </w:r>
      <w:r>
        <w:t>=</w:t>
      </w:r>
      <w:r>
        <w:rPr>
          <w:rFonts w:ascii="MS Gothic" w:eastAsia="MS Gothic" w:hAnsi="MS Gothic" w:cs="MS Gothic" w:hint="eastAsia"/>
        </w:rPr>
        <w:t> </w:t>
      </w:r>
      <w:r>
        <w:t>[</w:t>
      </w:r>
      <w:r>
        <w:rPr>
          <w:rFonts w:ascii="等线" w:eastAsia="等线" w:hAnsi="等线" w:cs="等线" w:hint="eastAsia"/>
        </w:rPr>
        <w:t>Δ</w:t>
      </w:r>
      <w:r>
        <w:t xml:space="preserve"> </w:t>
      </w:r>
      <w:proofErr w:type="spellStart"/>
      <w:r>
        <w:t>XSurgery</w:t>
      </w:r>
      <w:proofErr w:type="spellEnd"/>
      <w:r>
        <w:t xml:space="preserve"> </w:t>
      </w:r>
      <w:r>
        <w:rPr>
          <w:rFonts w:ascii="微软雅黑" w:eastAsia="微软雅黑" w:hAnsi="微软雅黑" w:cs="微软雅黑" w:hint="eastAsia"/>
        </w:rPr>
        <w:t>−</w:t>
      </w:r>
      <w:r>
        <w:t xml:space="preserve"> Mean(</w:t>
      </w:r>
      <w:r>
        <w:rPr>
          <w:rFonts w:ascii="等线" w:eastAsia="等线" w:hAnsi="等线" w:cs="等线" w:hint="eastAsia"/>
        </w:rPr>
        <w:t>Δ</w:t>
      </w:r>
      <w:r>
        <w:t xml:space="preserve"> X)Sham]/SD (</w:t>
      </w:r>
      <w:r>
        <w:rPr>
          <w:rFonts w:ascii="等线" w:eastAsia="等线" w:hAnsi="等线" w:cs="等线" w:hint="eastAsia"/>
        </w:rPr>
        <w:t>Δ</w:t>
      </w:r>
      <w:r>
        <w:t xml:space="preserve"> X)Sham (53). In the formula, </w:t>
      </w:r>
      <w:r>
        <w:rPr>
          <w:rFonts w:ascii="等线" w:eastAsia="等线" w:hAnsi="等线" w:cs="等线" w:hint="eastAsia"/>
        </w:rPr>
        <w:t>Δ</w:t>
      </w:r>
      <w:r>
        <w:t xml:space="preserve"> </w:t>
      </w:r>
      <w:proofErr w:type="spellStart"/>
      <w:r>
        <w:t>XSurgery</w:t>
      </w:r>
      <w:proofErr w:type="spellEnd"/>
      <w:r>
        <w:t xml:space="preserve"> was the score for the mice in the surgery group </w:t>
      </w:r>
      <w:r>
        <w:rPr>
          <w:rFonts w:hint="eastAsia"/>
        </w:rPr>
        <w:t xml:space="preserve">at different time points minus the score for these mice at day 0 baseline; Mean(Δ X)Sham was the score for mice in the sham group at different time points minus the score for these mice at day 0 baseline; and S(Δ X)Sham was the SD of Δ </w:t>
      </w:r>
      <w:proofErr w:type="spellStart"/>
      <w:r>
        <w:rPr>
          <w:rFonts w:hint="eastAsia"/>
        </w:rPr>
        <w:t>XSham</w:t>
      </w:r>
      <w:proofErr w:type="spellEnd"/>
      <w:r>
        <w:rPr>
          <w:rFonts w:hint="eastAsia"/>
        </w:rPr>
        <w:t xml:space="preserve"> for any given time point. Specifically, the composite z score for the mouse was calculated as the sum of the 6 z score values (mechanical withdrawal thresholds, grooming counts, body weight, wood chewing, incisor length, and food preference) normalized to the SD for that sum for the sham controls.</w:t>
      </w:r>
    </w:p>
    <w:p w14:paraId="7A9A763C" w14:textId="77777777" w:rsidR="00AE3B34" w:rsidRDefault="00AE3B34" w:rsidP="00AE3B34"/>
    <w:p w14:paraId="12B6C825" w14:textId="77777777" w:rsidR="00AE3B34" w:rsidRDefault="00AE3B34" w:rsidP="00AE3B34"/>
    <w:p w14:paraId="09290019" w14:textId="2F5A8969" w:rsidR="00AE3B34" w:rsidRDefault="007E6B56" w:rsidP="00AE3B34">
      <w:r>
        <w:t xml:space="preserve">44. </w:t>
      </w:r>
      <w:hyperlink r:id="rId303" w:anchor="sec-2" w:history="1">
        <w:r w:rsidR="00AE3B34" w:rsidRPr="007E6B56">
          <w:rPr>
            <w:rStyle w:val="a7"/>
          </w:rPr>
          <w:t>Spontaneous Pain, Both Neuropathic and Inflammatory, Is Related to Frequency of Spontaneous Firing in Intact C-Fiber Nociceptors | Journal of Neuroscience</w:t>
        </w:r>
      </w:hyperlink>
    </w:p>
    <w:p w14:paraId="562D55A6" w14:textId="77777777" w:rsidR="00AE3B34" w:rsidRPr="00421700" w:rsidRDefault="00AE3B34" w:rsidP="00AE3B34">
      <w:pPr>
        <w:widowControl/>
        <w:shd w:val="clear" w:color="auto" w:fill="FFFFFF"/>
        <w:spacing w:before="225" w:after="225" w:line="377" w:lineRule="atLeast"/>
        <w:jc w:val="left"/>
        <w:textAlignment w:val="baseline"/>
        <w:outlineLvl w:val="3"/>
        <w:rPr>
          <w:rFonts w:ascii="Helvetica" w:eastAsia="宋体" w:hAnsi="Helvetica" w:cs="宋体"/>
          <w:i/>
          <w:iCs/>
          <w:color w:val="121212"/>
          <w:kern w:val="0"/>
          <w:szCs w:val="21"/>
        </w:rPr>
      </w:pPr>
      <w:r w:rsidRPr="00421700">
        <w:rPr>
          <w:rFonts w:ascii="Helvetica" w:eastAsia="宋体" w:hAnsi="Helvetica" w:cs="宋体"/>
          <w:i/>
          <w:iCs/>
          <w:color w:val="121212"/>
          <w:kern w:val="0"/>
          <w:szCs w:val="21"/>
        </w:rPr>
        <w:t>Behavioral tests</w:t>
      </w:r>
    </w:p>
    <w:p w14:paraId="243B9A52" w14:textId="77777777" w:rsidR="00AE3B34" w:rsidRPr="00421700" w:rsidRDefault="00AE3B34" w:rsidP="00AE3B34">
      <w:pPr>
        <w:widowControl/>
        <w:shd w:val="clear" w:color="auto" w:fill="FFFFFF"/>
        <w:jc w:val="left"/>
        <w:textAlignment w:val="baseline"/>
        <w:rPr>
          <w:rFonts w:ascii="Helvetica" w:eastAsia="宋体" w:hAnsi="Helvetica" w:cs="宋体"/>
          <w:color w:val="000000"/>
          <w:kern w:val="0"/>
          <w:szCs w:val="21"/>
        </w:rPr>
      </w:pPr>
      <w:r w:rsidRPr="00421700">
        <w:rPr>
          <w:rFonts w:ascii="Helvetica" w:eastAsia="宋体" w:hAnsi="Helvetica" w:cs="宋体"/>
          <w:color w:val="000000"/>
          <w:kern w:val="0"/>
          <w:szCs w:val="21"/>
        </w:rPr>
        <w:t xml:space="preserve">All experimental rats (i.e., SNA-, </w:t>
      </w:r>
      <w:proofErr w:type="spellStart"/>
      <w:r w:rsidRPr="00421700">
        <w:rPr>
          <w:rFonts w:ascii="Helvetica" w:eastAsia="宋体" w:hAnsi="Helvetica" w:cs="宋体"/>
          <w:color w:val="000000"/>
          <w:kern w:val="0"/>
          <w:szCs w:val="21"/>
        </w:rPr>
        <w:t>mSNA</w:t>
      </w:r>
      <w:proofErr w:type="spellEnd"/>
      <w:r w:rsidRPr="00421700">
        <w:rPr>
          <w:rFonts w:ascii="Helvetica" w:eastAsia="宋体" w:hAnsi="Helvetica" w:cs="宋体"/>
          <w:color w:val="000000"/>
          <w:kern w:val="0"/>
          <w:szCs w:val="21"/>
        </w:rPr>
        <w:t>-, and CFA-treated rats) maintained good health and showed levels of exploratory activity, feeding activity, and weight gain indistinguishable from those of the unoperated normal rats. Animals with postoperative signs of motor deficits were excluded (</w:t>
      </w:r>
      <w:r w:rsidRPr="00421700">
        <w:rPr>
          <w:rFonts w:ascii="inherit" w:eastAsia="宋体" w:hAnsi="inherit" w:cs="宋体"/>
          <w:i/>
          <w:iCs/>
          <w:color w:val="000000"/>
          <w:kern w:val="0"/>
          <w:szCs w:val="21"/>
          <w:bdr w:val="none" w:sz="0" w:space="0" w:color="auto" w:frame="1"/>
        </w:rPr>
        <w:t>n</w:t>
      </w:r>
      <w:r w:rsidRPr="00421700">
        <w:rPr>
          <w:rFonts w:ascii="Helvetica" w:eastAsia="宋体" w:hAnsi="Helvetica" w:cs="宋体"/>
          <w:color w:val="000000"/>
          <w:kern w:val="0"/>
          <w:szCs w:val="21"/>
        </w:rPr>
        <w:t xml:space="preserve"> = 3). The remaining rats were placed singly in a clear plastic chamber (22 × 18 × 14 cm) on a glass floor at room temperature and, after </w:t>
      </w:r>
      <w:r w:rsidRPr="00421700">
        <w:rPr>
          <w:rFonts w:ascii="Helvetica" w:eastAsia="宋体" w:hAnsi="Helvetica" w:cs="宋体"/>
          <w:color w:val="000000"/>
          <w:kern w:val="0"/>
          <w:szCs w:val="21"/>
        </w:rPr>
        <w:lastRenderedPageBreak/>
        <w:t xml:space="preserve">10 min for acclimatization, their postures for standing, walking, and resting were monitored daily up to day 7 </w:t>
      </w:r>
      <w:proofErr w:type="spellStart"/>
      <w:r w:rsidRPr="00421700">
        <w:rPr>
          <w:rFonts w:ascii="Helvetica" w:eastAsia="宋体" w:hAnsi="Helvetica" w:cs="宋体"/>
          <w:color w:val="000000"/>
          <w:kern w:val="0"/>
          <w:szCs w:val="21"/>
        </w:rPr>
        <w:t>postoperation</w:t>
      </w:r>
      <w:proofErr w:type="spellEnd"/>
      <w:r w:rsidRPr="00421700">
        <w:rPr>
          <w:rFonts w:ascii="Helvetica" w:eastAsia="宋体" w:hAnsi="Helvetica" w:cs="宋体"/>
          <w:color w:val="000000"/>
          <w:kern w:val="0"/>
          <w:szCs w:val="21"/>
        </w:rPr>
        <w:t xml:space="preserve"> (PO) (see below).</w:t>
      </w:r>
    </w:p>
    <w:p w14:paraId="1D9C0D8A" w14:textId="77777777" w:rsidR="00AE3B34" w:rsidRPr="00421700" w:rsidRDefault="00AE3B34" w:rsidP="00AE3B34">
      <w:pPr>
        <w:widowControl/>
        <w:shd w:val="clear" w:color="auto" w:fill="FFFFFF"/>
        <w:jc w:val="left"/>
        <w:textAlignment w:val="baseline"/>
        <w:rPr>
          <w:rFonts w:ascii="Helvetica" w:eastAsia="宋体" w:hAnsi="Helvetica" w:cs="宋体"/>
          <w:color w:val="000000"/>
          <w:kern w:val="0"/>
          <w:szCs w:val="21"/>
        </w:rPr>
      </w:pPr>
      <w:r w:rsidRPr="00421700">
        <w:rPr>
          <w:rFonts w:ascii="Helvetica" w:eastAsia="宋体" w:hAnsi="Helvetica" w:cs="宋体"/>
          <w:color w:val="000000"/>
          <w:kern w:val="0"/>
          <w:szCs w:val="21"/>
        </w:rPr>
        <w:t>Three behavioral signs thought to represent different components of neuropathic pain [that is, spontaneous pain behavior and two forms of evoked pain behavior (mechanical allodynia and heat hyperalgesia)] were studied as follows. (1) Spontaneous pain: we used SFL as a sign of spontaneous pain after nerve injury and CFA-induced inflammation in rat as previously described and justified (</w:t>
      </w:r>
      <w:hyperlink r:id="rId304" w:anchor="ref-5" w:history="1">
        <w:r w:rsidRPr="00421700">
          <w:rPr>
            <w:rFonts w:ascii="inherit" w:eastAsia="宋体" w:hAnsi="inherit" w:cs="宋体"/>
            <w:b/>
            <w:bCs/>
            <w:color w:val="0077C0"/>
            <w:kern w:val="0"/>
            <w:szCs w:val="21"/>
            <w:bdr w:val="none" w:sz="0" w:space="0" w:color="auto" w:frame="1"/>
          </w:rPr>
          <w:t>Bennett and Xie, 1988</w:t>
        </w:r>
      </w:hyperlink>
      <w:r w:rsidRPr="00421700">
        <w:rPr>
          <w:rFonts w:ascii="Helvetica" w:eastAsia="宋体" w:hAnsi="Helvetica" w:cs="宋体"/>
          <w:color w:val="000000"/>
          <w:kern w:val="0"/>
          <w:szCs w:val="21"/>
        </w:rPr>
        <w:t>; </w:t>
      </w:r>
      <w:hyperlink r:id="rId305" w:anchor="ref-30" w:history="1">
        <w:r w:rsidRPr="00421700">
          <w:rPr>
            <w:rFonts w:ascii="inherit" w:eastAsia="宋体" w:hAnsi="inherit" w:cs="宋体"/>
            <w:b/>
            <w:bCs/>
            <w:color w:val="0077C0"/>
            <w:kern w:val="0"/>
            <w:szCs w:val="21"/>
            <w:bdr w:val="none" w:sz="0" w:space="0" w:color="auto" w:frame="1"/>
          </w:rPr>
          <w:t>Mao et al., 1992</w:t>
        </w:r>
      </w:hyperlink>
      <w:r w:rsidRPr="00421700">
        <w:rPr>
          <w:rFonts w:ascii="Helvetica" w:eastAsia="宋体" w:hAnsi="Helvetica" w:cs="宋体"/>
          <w:color w:val="000000"/>
          <w:kern w:val="0"/>
          <w:szCs w:val="21"/>
        </w:rPr>
        <w:t>; </w:t>
      </w:r>
      <w:hyperlink r:id="rId306" w:anchor="ref-9" w:history="1">
        <w:r w:rsidRPr="00421700">
          <w:rPr>
            <w:rFonts w:ascii="inherit" w:eastAsia="宋体" w:hAnsi="inherit" w:cs="宋体"/>
            <w:b/>
            <w:bCs/>
            <w:color w:val="0077C0"/>
            <w:kern w:val="0"/>
            <w:szCs w:val="21"/>
            <w:bdr w:val="none" w:sz="0" w:space="0" w:color="auto" w:frame="1"/>
          </w:rPr>
          <w:t>Choi et al., 1994</w:t>
        </w:r>
      </w:hyperlink>
      <w:r w:rsidRPr="00421700">
        <w:rPr>
          <w:rFonts w:ascii="Helvetica" w:eastAsia="宋体" w:hAnsi="Helvetica" w:cs="宋体"/>
          <w:color w:val="000000"/>
          <w:kern w:val="0"/>
          <w:szCs w:val="21"/>
        </w:rPr>
        <w:t>; </w:t>
      </w:r>
      <w:hyperlink r:id="rId307" w:anchor="ref-19" w:history="1">
        <w:r w:rsidRPr="00421700">
          <w:rPr>
            <w:rFonts w:ascii="inherit" w:eastAsia="宋体" w:hAnsi="inherit" w:cs="宋体"/>
            <w:b/>
            <w:bCs/>
            <w:color w:val="0077C0"/>
            <w:kern w:val="0"/>
            <w:szCs w:val="21"/>
            <w:bdr w:val="none" w:sz="0" w:space="0" w:color="auto" w:frame="1"/>
          </w:rPr>
          <w:t>Han et al., 2000</w:t>
        </w:r>
      </w:hyperlink>
      <w:r w:rsidRPr="00421700">
        <w:rPr>
          <w:rFonts w:ascii="Helvetica" w:eastAsia="宋体" w:hAnsi="Helvetica" w:cs="宋体"/>
          <w:color w:val="000000"/>
          <w:kern w:val="0"/>
          <w:szCs w:val="21"/>
        </w:rPr>
        <w:t>; </w:t>
      </w:r>
      <w:proofErr w:type="spellStart"/>
      <w:r w:rsidR="004A5E23">
        <w:fldChar w:fldCharType="begin"/>
      </w:r>
      <w:r w:rsidR="004A5E23">
        <w:instrText xml:space="preserve"> HYPERLINK "https://www.jneurosci.org/content/26/4/1281" \l "ref-36" </w:instrText>
      </w:r>
      <w:r w:rsidR="004A5E23">
        <w:fldChar w:fldCharType="separate"/>
      </w:r>
      <w:r w:rsidRPr="00421700">
        <w:rPr>
          <w:rFonts w:ascii="inherit" w:eastAsia="宋体" w:hAnsi="inherit" w:cs="宋体"/>
          <w:b/>
          <w:bCs/>
          <w:color w:val="0077C0"/>
          <w:kern w:val="0"/>
          <w:szCs w:val="21"/>
          <w:bdr w:val="none" w:sz="0" w:space="0" w:color="auto" w:frame="1"/>
        </w:rPr>
        <w:t>Schafers</w:t>
      </w:r>
      <w:proofErr w:type="spellEnd"/>
      <w:r w:rsidRPr="00421700">
        <w:rPr>
          <w:rFonts w:ascii="inherit" w:eastAsia="宋体" w:hAnsi="inherit" w:cs="宋体"/>
          <w:b/>
          <w:bCs/>
          <w:color w:val="0077C0"/>
          <w:kern w:val="0"/>
          <w:szCs w:val="21"/>
          <w:bdr w:val="none" w:sz="0" w:space="0" w:color="auto" w:frame="1"/>
        </w:rPr>
        <w:t xml:space="preserve"> et al., 2003</w:t>
      </w:r>
      <w:r w:rsidR="004A5E23">
        <w:rPr>
          <w:rFonts w:ascii="inherit" w:eastAsia="宋体" w:hAnsi="inherit" w:cs="宋体"/>
          <w:b/>
          <w:bCs/>
          <w:color w:val="0077C0"/>
          <w:kern w:val="0"/>
          <w:szCs w:val="21"/>
          <w:bdr w:val="none" w:sz="0" w:space="0" w:color="auto" w:frame="1"/>
        </w:rPr>
        <w:fldChar w:fldCharType="end"/>
      </w:r>
      <w:r w:rsidRPr="00421700">
        <w:rPr>
          <w:rFonts w:ascii="Helvetica" w:eastAsia="宋体" w:hAnsi="Helvetica" w:cs="宋体"/>
          <w:color w:val="000000"/>
          <w:kern w:val="0"/>
          <w:szCs w:val="21"/>
        </w:rPr>
        <w:t>; </w:t>
      </w:r>
      <w:hyperlink r:id="rId308" w:anchor="ref-26" w:history="1">
        <w:r w:rsidRPr="00421700">
          <w:rPr>
            <w:rFonts w:ascii="inherit" w:eastAsia="宋体" w:hAnsi="inherit" w:cs="宋体"/>
            <w:b/>
            <w:bCs/>
            <w:color w:val="0077C0"/>
            <w:kern w:val="0"/>
            <w:szCs w:val="21"/>
            <w:bdr w:val="none" w:sz="0" w:space="0" w:color="auto" w:frame="1"/>
          </w:rPr>
          <w:t>Lee et al., 2003</w:t>
        </w:r>
      </w:hyperlink>
      <w:r w:rsidRPr="00421700">
        <w:rPr>
          <w:rFonts w:ascii="Helvetica" w:eastAsia="宋体" w:hAnsi="Helvetica" w:cs="宋体"/>
          <w:color w:val="000000"/>
          <w:kern w:val="0"/>
          <w:szCs w:val="21"/>
        </w:rPr>
        <w:t>). For further justification of SFL as a behavioral sign of spontaneous pain in the present study, see Results. (2) Mechanical allodynia (hypersensitivity to a normally innocuous stimulus) was indicated by withdrawal thresholds to innocuous von Frey hairs (</w:t>
      </w:r>
      <w:proofErr w:type="spellStart"/>
      <w:r w:rsidR="004A5E23">
        <w:fldChar w:fldCharType="begin"/>
      </w:r>
      <w:r w:rsidR="004A5E23">
        <w:instrText xml:space="preserve"> HYPERLINK "https://www.jneurosci.org/content/26/4/1281" \</w:instrText>
      </w:r>
      <w:r w:rsidR="004A5E23">
        <w:instrText xml:space="preserve">l "ref-8" </w:instrText>
      </w:r>
      <w:r w:rsidR="004A5E23">
        <w:fldChar w:fldCharType="separate"/>
      </w:r>
      <w:r w:rsidRPr="00421700">
        <w:rPr>
          <w:rFonts w:ascii="inherit" w:eastAsia="宋体" w:hAnsi="inherit" w:cs="宋体"/>
          <w:b/>
          <w:bCs/>
          <w:color w:val="0077C0"/>
          <w:kern w:val="0"/>
          <w:szCs w:val="21"/>
          <w:bdr w:val="none" w:sz="0" w:space="0" w:color="auto" w:frame="1"/>
        </w:rPr>
        <w:t>Chaplan</w:t>
      </w:r>
      <w:proofErr w:type="spellEnd"/>
      <w:r w:rsidRPr="00421700">
        <w:rPr>
          <w:rFonts w:ascii="inherit" w:eastAsia="宋体" w:hAnsi="inherit" w:cs="宋体"/>
          <w:b/>
          <w:bCs/>
          <w:color w:val="0077C0"/>
          <w:kern w:val="0"/>
          <w:szCs w:val="21"/>
          <w:bdr w:val="none" w:sz="0" w:space="0" w:color="auto" w:frame="1"/>
        </w:rPr>
        <w:t xml:space="preserve"> et al., 1994</w:t>
      </w:r>
      <w:r w:rsidR="004A5E23">
        <w:rPr>
          <w:rFonts w:ascii="inherit" w:eastAsia="宋体" w:hAnsi="inherit" w:cs="宋体"/>
          <w:b/>
          <w:bCs/>
          <w:color w:val="0077C0"/>
          <w:kern w:val="0"/>
          <w:szCs w:val="21"/>
          <w:bdr w:val="none" w:sz="0" w:space="0" w:color="auto" w:frame="1"/>
        </w:rPr>
        <w:fldChar w:fldCharType="end"/>
      </w:r>
      <w:r w:rsidRPr="00421700">
        <w:rPr>
          <w:rFonts w:ascii="Helvetica" w:eastAsia="宋体" w:hAnsi="Helvetica" w:cs="宋体"/>
          <w:color w:val="000000"/>
          <w:kern w:val="0"/>
          <w:szCs w:val="21"/>
        </w:rPr>
        <w:t>; </w:t>
      </w:r>
      <w:hyperlink r:id="rId309" w:anchor="ref-22" w:history="1">
        <w:r w:rsidRPr="00421700">
          <w:rPr>
            <w:rFonts w:ascii="inherit" w:eastAsia="宋体" w:hAnsi="inherit" w:cs="宋体"/>
            <w:b/>
            <w:bCs/>
            <w:color w:val="0077C0"/>
            <w:kern w:val="0"/>
            <w:szCs w:val="21"/>
            <w:bdr w:val="none" w:sz="0" w:space="0" w:color="auto" w:frame="1"/>
          </w:rPr>
          <w:t>Kim et al., 1997</w:t>
        </w:r>
      </w:hyperlink>
      <w:r w:rsidRPr="00421700">
        <w:rPr>
          <w:rFonts w:ascii="Helvetica" w:eastAsia="宋体" w:hAnsi="Helvetica" w:cs="宋体"/>
          <w:color w:val="000000"/>
          <w:kern w:val="0"/>
          <w:szCs w:val="21"/>
        </w:rPr>
        <w:t xml:space="preserve">). (3) Heat hyperalgesia was indicated by latency of withdrawal from a noxious heat stimulus (Hargreaves </w:t>
      </w:r>
      <w:proofErr w:type="spellStart"/>
      <w:r w:rsidRPr="00421700">
        <w:rPr>
          <w:rFonts w:ascii="Helvetica" w:eastAsia="宋体" w:hAnsi="Helvetica" w:cs="宋体"/>
          <w:color w:val="000000"/>
          <w:kern w:val="0"/>
          <w:szCs w:val="21"/>
        </w:rPr>
        <w:t>analgesymeter</w:t>
      </w:r>
      <w:proofErr w:type="spellEnd"/>
      <w:r w:rsidRPr="00421700">
        <w:rPr>
          <w:rFonts w:ascii="Helvetica" w:eastAsia="宋体" w:hAnsi="Helvetica" w:cs="宋体"/>
          <w:color w:val="000000"/>
          <w:kern w:val="0"/>
          <w:szCs w:val="21"/>
        </w:rPr>
        <w:t>) (</w:t>
      </w:r>
      <w:hyperlink r:id="rId310" w:anchor="ref-5" w:history="1">
        <w:r w:rsidRPr="00421700">
          <w:rPr>
            <w:rFonts w:ascii="inherit" w:eastAsia="宋体" w:hAnsi="inherit" w:cs="宋体"/>
            <w:b/>
            <w:bCs/>
            <w:color w:val="0077C0"/>
            <w:kern w:val="0"/>
            <w:szCs w:val="21"/>
            <w:bdr w:val="none" w:sz="0" w:space="0" w:color="auto" w:frame="1"/>
          </w:rPr>
          <w:t>Bennett and Xie, 1988</w:t>
        </w:r>
      </w:hyperlink>
      <w:r w:rsidRPr="00421700">
        <w:rPr>
          <w:rFonts w:ascii="Helvetica" w:eastAsia="宋体" w:hAnsi="Helvetica" w:cs="宋体"/>
          <w:color w:val="000000"/>
          <w:kern w:val="0"/>
          <w:szCs w:val="21"/>
        </w:rPr>
        <w:t>; </w:t>
      </w:r>
      <w:hyperlink r:id="rId311" w:anchor="ref-20" w:history="1">
        <w:r w:rsidRPr="00421700">
          <w:rPr>
            <w:rFonts w:ascii="inherit" w:eastAsia="宋体" w:hAnsi="inherit" w:cs="宋体"/>
            <w:b/>
            <w:bCs/>
            <w:color w:val="0077C0"/>
            <w:kern w:val="0"/>
            <w:szCs w:val="21"/>
            <w:bdr w:val="none" w:sz="0" w:space="0" w:color="auto" w:frame="1"/>
          </w:rPr>
          <w:t>Hargreaves et al., 1988</w:t>
        </w:r>
      </w:hyperlink>
      <w:r w:rsidRPr="00421700">
        <w:rPr>
          <w:rFonts w:ascii="Helvetica" w:eastAsia="宋体" w:hAnsi="Helvetica" w:cs="宋体"/>
          <w:color w:val="000000"/>
          <w:kern w:val="0"/>
          <w:szCs w:val="21"/>
        </w:rPr>
        <w:t>; </w:t>
      </w:r>
      <w:hyperlink r:id="rId312" w:anchor="ref-23" w:history="1">
        <w:r w:rsidRPr="00421700">
          <w:rPr>
            <w:rFonts w:ascii="inherit" w:eastAsia="宋体" w:hAnsi="inherit" w:cs="宋体"/>
            <w:b/>
            <w:bCs/>
            <w:color w:val="0077C0"/>
            <w:kern w:val="0"/>
            <w:szCs w:val="21"/>
            <w:bdr w:val="none" w:sz="0" w:space="0" w:color="auto" w:frame="1"/>
          </w:rPr>
          <w:t>Kim and Chung, 1992</w:t>
        </w:r>
      </w:hyperlink>
      <w:r w:rsidRPr="00421700">
        <w:rPr>
          <w:rFonts w:ascii="Helvetica" w:eastAsia="宋体" w:hAnsi="Helvetica" w:cs="宋体"/>
          <w:color w:val="000000"/>
          <w:kern w:val="0"/>
          <w:szCs w:val="21"/>
        </w:rPr>
        <w:t>).</w:t>
      </w:r>
    </w:p>
    <w:p w14:paraId="06C02122" w14:textId="77777777" w:rsidR="00AE3B34" w:rsidRPr="00421700" w:rsidRDefault="00AE3B34" w:rsidP="00AE3B34">
      <w:pPr>
        <w:widowControl/>
        <w:shd w:val="clear" w:color="auto" w:fill="FFFFFF"/>
        <w:spacing w:before="225" w:after="225" w:line="274" w:lineRule="atLeast"/>
        <w:jc w:val="left"/>
        <w:textAlignment w:val="baseline"/>
        <w:outlineLvl w:val="4"/>
        <w:rPr>
          <w:rFonts w:ascii="Helvetica" w:eastAsia="宋体" w:hAnsi="Helvetica" w:cs="宋体"/>
          <w:caps/>
          <w:color w:val="6B6B6B"/>
          <w:kern w:val="0"/>
          <w:szCs w:val="21"/>
        </w:rPr>
      </w:pPr>
      <w:r w:rsidRPr="00421700">
        <w:rPr>
          <w:rFonts w:ascii="Helvetica" w:eastAsia="宋体" w:hAnsi="Helvetica" w:cs="宋体"/>
          <w:caps/>
          <w:color w:val="6B6B6B"/>
          <w:kern w:val="0"/>
          <w:szCs w:val="21"/>
        </w:rPr>
        <w:t>SFL.</w:t>
      </w:r>
    </w:p>
    <w:p w14:paraId="13C3B918" w14:textId="77777777" w:rsidR="00AE3B34" w:rsidRPr="00421700" w:rsidRDefault="00AE3B34" w:rsidP="00AE3B34">
      <w:pPr>
        <w:widowControl/>
        <w:shd w:val="clear" w:color="auto" w:fill="FFFFFF"/>
        <w:jc w:val="left"/>
        <w:textAlignment w:val="baseline"/>
        <w:rPr>
          <w:rFonts w:ascii="Helvetica" w:eastAsia="宋体" w:hAnsi="Helvetica" w:cs="宋体"/>
          <w:color w:val="000000"/>
          <w:kern w:val="0"/>
          <w:szCs w:val="21"/>
        </w:rPr>
      </w:pPr>
      <w:r w:rsidRPr="00421700">
        <w:rPr>
          <w:rFonts w:ascii="Helvetica" w:eastAsia="宋体" w:hAnsi="Helvetica" w:cs="宋体"/>
          <w:color w:val="000000"/>
          <w:kern w:val="0"/>
          <w:szCs w:val="21"/>
        </w:rPr>
        <w:t>Spontaneous foot-lifting duration was measured as the cumulative duration in seconds for which rats lifted their ipsilateral hindfoot accompanied often by aversive behavior (e.g., foot shaking/licking) over 5 min. Foot lifting associated with exploratory behavior, locomotion, body repositioning, and grooming was excluded (</w:t>
      </w:r>
      <w:hyperlink r:id="rId313" w:anchor="ref-45" w:history="1">
        <w:r w:rsidRPr="00421700">
          <w:rPr>
            <w:rFonts w:ascii="inherit" w:eastAsia="宋体" w:hAnsi="inherit" w:cs="宋体"/>
            <w:b/>
            <w:bCs/>
            <w:color w:val="0077C0"/>
            <w:kern w:val="0"/>
            <w:szCs w:val="21"/>
            <w:bdr w:val="none" w:sz="0" w:space="0" w:color="auto" w:frame="1"/>
          </w:rPr>
          <w:t>Yoon et al., 1996</w:t>
        </w:r>
      </w:hyperlink>
      <w:r w:rsidRPr="00421700">
        <w:rPr>
          <w:rFonts w:ascii="Helvetica" w:eastAsia="宋体" w:hAnsi="Helvetica" w:cs="宋体"/>
          <w:color w:val="000000"/>
          <w:kern w:val="0"/>
          <w:szCs w:val="21"/>
        </w:rPr>
        <w:t xml:space="preserve">). This was repeated twice (10 min total time) with an interval of 5 min. The contralateral hindfoot was also observed over the same period. For SNA and </w:t>
      </w:r>
      <w:proofErr w:type="spellStart"/>
      <w:r w:rsidRPr="00421700">
        <w:rPr>
          <w:rFonts w:ascii="Helvetica" w:eastAsia="宋体" w:hAnsi="Helvetica" w:cs="宋体"/>
          <w:color w:val="000000"/>
          <w:kern w:val="0"/>
          <w:szCs w:val="21"/>
        </w:rPr>
        <w:t>mSNA</w:t>
      </w:r>
      <w:proofErr w:type="spellEnd"/>
      <w:r w:rsidRPr="00421700">
        <w:rPr>
          <w:rFonts w:ascii="Helvetica" w:eastAsia="宋体" w:hAnsi="Helvetica" w:cs="宋体"/>
          <w:color w:val="000000"/>
          <w:kern w:val="0"/>
          <w:szCs w:val="21"/>
        </w:rPr>
        <w:t xml:space="preserve"> rats, SFL duration was monitored (but not recorded) on day 6 PO and recorded on day 7 PO (the day of electrophysiological recording). For CFA-treated rats, SFL duration was monitored and recorded on days 1, 2, 4, and 7 after CFA treatment. The SFL values presented in </w:t>
      </w:r>
      <w:hyperlink r:id="rId314" w:anchor="F2" w:history="1">
        <w:r w:rsidRPr="00421700">
          <w:rPr>
            <w:rFonts w:ascii="inherit" w:eastAsia="宋体" w:hAnsi="inherit" w:cs="宋体"/>
            <w:b/>
            <w:bCs/>
            <w:color w:val="0077C0"/>
            <w:kern w:val="0"/>
            <w:szCs w:val="21"/>
            <w:bdr w:val="none" w:sz="0" w:space="0" w:color="auto" w:frame="1"/>
          </w:rPr>
          <w:t>Figure 2</w:t>
        </w:r>
      </w:hyperlink>
      <w:r w:rsidRPr="00421700">
        <w:rPr>
          <w:rFonts w:ascii="Helvetica" w:eastAsia="宋体" w:hAnsi="Helvetica" w:cs="宋体"/>
          <w:color w:val="000000"/>
          <w:kern w:val="0"/>
          <w:szCs w:val="21"/>
        </w:rPr>
        <w:t>, </w:t>
      </w:r>
      <w:r w:rsidRPr="00421700">
        <w:rPr>
          <w:rFonts w:ascii="inherit" w:eastAsia="宋体" w:hAnsi="inherit" w:cs="宋体"/>
          <w:i/>
          <w:iCs/>
          <w:color w:val="000000"/>
          <w:kern w:val="0"/>
          <w:szCs w:val="21"/>
          <w:bdr w:val="none" w:sz="0" w:space="0" w:color="auto" w:frame="1"/>
        </w:rPr>
        <w:t>A</w:t>
      </w:r>
      <w:r w:rsidRPr="00421700">
        <w:rPr>
          <w:rFonts w:ascii="Helvetica" w:eastAsia="宋体" w:hAnsi="Helvetica" w:cs="宋体"/>
          <w:color w:val="000000"/>
          <w:kern w:val="0"/>
          <w:szCs w:val="21"/>
        </w:rPr>
        <w:t> and </w:t>
      </w:r>
      <w:r w:rsidRPr="00421700">
        <w:rPr>
          <w:rFonts w:ascii="inherit" w:eastAsia="宋体" w:hAnsi="inherit" w:cs="宋体"/>
          <w:i/>
          <w:iCs/>
          <w:color w:val="000000"/>
          <w:kern w:val="0"/>
          <w:szCs w:val="21"/>
          <w:bdr w:val="none" w:sz="0" w:space="0" w:color="auto" w:frame="1"/>
        </w:rPr>
        <w:t>B</w:t>
      </w:r>
      <w:r w:rsidRPr="00421700">
        <w:rPr>
          <w:rFonts w:ascii="Helvetica" w:eastAsia="宋体" w:hAnsi="Helvetica" w:cs="宋体"/>
          <w:color w:val="000000"/>
          <w:kern w:val="0"/>
          <w:szCs w:val="21"/>
        </w:rPr>
        <w:t xml:space="preserve">, are day 7 values in SNA and </w:t>
      </w:r>
      <w:proofErr w:type="spellStart"/>
      <w:r w:rsidRPr="00421700">
        <w:rPr>
          <w:rFonts w:ascii="Helvetica" w:eastAsia="宋体" w:hAnsi="Helvetica" w:cs="宋体"/>
          <w:color w:val="000000"/>
          <w:kern w:val="0"/>
          <w:szCs w:val="21"/>
        </w:rPr>
        <w:t>mSNA</w:t>
      </w:r>
      <w:proofErr w:type="spellEnd"/>
      <w:r w:rsidRPr="00421700">
        <w:rPr>
          <w:rFonts w:ascii="Helvetica" w:eastAsia="宋体" w:hAnsi="Helvetica" w:cs="宋体"/>
          <w:color w:val="000000"/>
          <w:kern w:val="0"/>
          <w:szCs w:val="21"/>
        </w:rPr>
        <w:t xml:space="preserve"> rats, and those presented in </w:t>
      </w:r>
      <w:hyperlink r:id="rId315" w:anchor="F2" w:history="1">
        <w:r w:rsidRPr="00421700">
          <w:rPr>
            <w:rFonts w:ascii="inherit" w:eastAsia="宋体" w:hAnsi="inherit" w:cs="宋体"/>
            <w:b/>
            <w:bCs/>
            <w:color w:val="0077C0"/>
            <w:kern w:val="0"/>
            <w:szCs w:val="21"/>
            <w:bdr w:val="none" w:sz="0" w:space="0" w:color="auto" w:frame="1"/>
          </w:rPr>
          <w:t>Figure 2</w:t>
        </w:r>
      </w:hyperlink>
      <w:r w:rsidRPr="00421700">
        <w:rPr>
          <w:rFonts w:ascii="Helvetica" w:eastAsia="宋体" w:hAnsi="Helvetica" w:cs="宋体"/>
          <w:color w:val="000000"/>
          <w:kern w:val="0"/>
          <w:szCs w:val="21"/>
        </w:rPr>
        <w:t>, </w:t>
      </w:r>
      <w:r w:rsidRPr="00421700">
        <w:rPr>
          <w:rFonts w:ascii="inherit" w:eastAsia="宋体" w:hAnsi="inherit" w:cs="宋体"/>
          <w:i/>
          <w:iCs/>
          <w:color w:val="000000"/>
          <w:kern w:val="0"/>
          <w:szCs w:val="21"/>
          <w:bdr w:val="none" w:sz="0" w:space="0" w:color="auto" w:frame="1"/>
        </w:rPr>
        <w:t>C</w:t>
      </w:r>
      <w:r w:rsidRPr="00421700">
        <w:rPr>
          <w:rFonts w:ascii="Helvetica" w:eastAsia="宋体" w:hAnsi="Helvetica" w:cs="宋体"/>
          <w:color w:val="000000"/>
          <w:kern w:val="0"/>
          <w:szCs w:val="21"/>
        </w:rPr>
        <w:t> and </w:t>
      </w:r>
      <w:r w:rsidRPr="00421700">
        <w:rPr>
          <w:rFonts w:ascii="inherit" w:eastAsia="宋体" w:hAnsi="inherit" w:cs="宋体"/>
          <w:i/>
          <w:iCs/>
          <w:color w:val="000000"/>
          <w:kern w:val="0"/>
          <w:szCs w:val="21"/>
          <w:bdr w:val="none" w:sz="0" w:space="0" w:color="auto" w:frame="1"/>
        </w:rPr>
        <w:t>D</w:t>
      </w:r>
      <w:r w:rsidRPr="00421700">
        <w:rPr>
          <w:rFonts w:ascii="Helvetica" w:eastAsia="宋体" w:hAnsi="Helvetica" w:cs="宋体"/>
          <w:color w:val="000000"/>
          <w:kern w:val="0"/>
          <w:szCs w:val="21"/>
        </w:rPr>
        <w:t>, are values at 1, 2, 4, and 7 d after CFA treatment.</w:t>
      </w:r>
    </w:p>
    <w:p w14:paraId="56A099D8" w14:textId="77777777" w:rsidR="00AE3B34" w:rsidRPr="00421700" w:rsidRDefault="00AE3B34" w:rsidP="00AE3B34">
      <w:pPr>
        <w:widowControl/>
        <w:shd w:val="clear" w:color="auto" w:fill="FFFFFF"/>
        <w:spacing w:before="225" w:after="225" w:line="274" w:lineRule="atLeast"/>
        <w:jc w:val="left"/>
        <w:textAlignment w:val="baseline"/>
        <w:outlineLvl w:val="4"/>
        <w:rPr>
          <w:rFonts w:ascii="Helvetica" w:eastAsia="宋体" w:hAnsi="Helvetica" w:cs="宋体"/>
          <w:caps/>
          <w:color w:val="6B6B6B"/>
          <w:kern w:val="0"/>
          <w:szCs w:val="21"/>
        </w:rPr>
      </w:pPr>
      <w:r w:rsidRPr="00421700">
        <w:rPr>
          <w:rFonts w:ascii="Helvetica" w:eastAsia="宋体" w:hAnsi="Helvetica" w:cs="宋体"/>
          <w:caps/>
          <w:color w:val="6B6B6B"/>
          <w:kern w:val="0"/>
          <w:szCs w:val="21"/>
        </w:rPr>
        <w:t>von Frey hair withdrawal threshold (mechanical allodynia).</w:t>
      </w:r>
    </w:p>
    <w:p w14:paraId="6A3AE249" w14:textId="77777777" w:rsidR="00AE3B34" w:rsidRPr="00421700" w:rsidRDefault="00AE3B34" w:rsidP="00AE3B34">
      <w:pPr>
        <w:widowControl/>
        <w:shd w:val="clear" w:color="auto" w:fill="FFFFFF"/>
        <w:jc w:val="left"/>
        <w:textAlignment w:val="baseline"/>
        <w:rPr>
          <w:rFonts w:ascii="Helvetica" w:eastAsia="宋体" w:hAnsi="Helvetica" w:cs="宋体"/>
          <w:color w:val="000000"/>
          <w:kern w:val="0"/>
          <w:szCs w:val="21"/>
        </w:rPr>
      </w:pPr>
      <w:r w:rsidRPr="00421700">
        <w:rPr>
          <w:rFonts w:ascii="Helvetica" w:eastAsia="宋体" w:hAnsi="Helvetica" w:cs="宋体"/>
          <w:color w:val="000000"/>
          <w:kern w:val="0"/>
          <w:szCs w:val="21"/>
        </w:rPr>
        <w:t xml:space="preserve">Each rat was placed on a metal mesh floor. The plantar surface of each </w:t>
      </w:r>
      <w:proofErr w:type="spellStart"/>
      <w:r w:rsidRPr="00421700">
        <w:rPr>
          <w:rFonts w:ascii="Helvetica" w:eastAsia="宋体" w:hAnsi="Helvetica" w:cs="宋体"/>
          <w:color w:val="000000"/>
          <w:kern w:val="0"/>
          <w:szCs w:val="21"/>
        </w:rPr>
        <w:t>hindpaw</w:t>
      </w:r>
      <w:proofErr w:type="spellEnd"/>
      <w:r w:rsidRPr="00421700">
        <w:rPr>
          <w:rFonts w:ascii="Helvetica" w:eastAsia="宋体" w:hAnsi="Helvetica" w:cs="宋体"/>
          <w:color w:val="000000"/>
          <w:kern w:val="0"/>
          <w:szCs w:val="21"/>
        </w:rPr>
        <w:t xml:space="preserve"> was touched for </w:t>
      </w:r>
      <w:r w:rsidRPr="00421700">
        <w:rPr>
          <w:rFonts w:ascii="Cambria Math" w:eastAsia="宋体" w:hAnsi="Cambria Math" w:cs="Cambria Math"/>
          <w:color w:val="000000"/>
          <w:kern w:val="0"/>
          <w:szCs w:val="21"/>
        </w:rPr>
        <w:t>∼</w:t>
      </w:r>
      <w:r w:rsidRPr="00421700">
        <w:rPr>
          <w:rFonts w:ascii="Helvetica" w:eastAsia="宋体" w:hAnsi="Helvetica" w:cs="宋体"/>
          <w:color w:val="000000"/>
          <w:kern w:val="0"/>
          <w:szCs w:val="21"/>
        </w:rPr>
        <w:t>2 s with a series of six von Frey filaments (Touch-Test; North Coast Medical, Morgan Hill, CA) providing forces of 0.6, 1, 2, 4, 6, and 8</w:t>
      </w:r>
      <w:r w:rsidRPr="00421700">
        <w:rPr>
          <w:rFonts w:ascii="Helvetica" w:eastAsia="宋体" w:hAnsi="Helvetica" w:cs="Helvetica"/>
          <w:color w:val="000000"/>
          <w:kern w:val="0"/>
          <w:szCs w:val="21"/>
        </w:rPr>
        <w:t> </w:t>
      </w:r>
      <w:r w:rsidRPr="00421700">
        <w:rPr>
          <w:rFonts w:ascii="inherit" w:eastAsia="宋体" w:hAnsi="inherit" w:cs="宋体"/>
          <w:i/>
          <w:iCs/>
          <w:color w:val="000000"/>
          <w:kern w:val="0"/>
          <w:szCs w:val="21"/>
          <w:bdr w:val="none" w:sz="0" w:space="0" w:color="auto" w:frame="1"/>
        </w:rPr>
        <w:t>g</w:t>
      </w:r>
      <w:r w:rsidRPr="00421700">
        <w:rPr>
          <w:rFonts w:ascii="Helvetica" w:eastAsia="宋体" w:hAnsi="Helvetica" w:cs="宋体"/>
          <w:color w:val="000000"/>
          <w:kern w:val="0"/>
          <w:szCs w:val="21"/>
        </w:rPr>
        <w:t>, starting with 2 </w:t>
      </w:r>
      <w:r w:rsidRPr="00421700">
        <w:rPr>
          <w:rFonts w:ascii="inherit" w:eastAsia="宋体" w:hAnsi="inherit" w:cs="宋体"/>
          <w:i/>
          <w:iCs/>
          <w:color w:val="000000"/>
          <w:kern w:val="0"/>
          <w:szCs w:val="21"/>
          <w:bdr w:val="none" w:sz="0" w:space="0" w:color="auto" w:frame="1"/>
        </w:rPr>
        <w:t>g</w:t>
      </w:r>
      <w:r w:rsidRPr="00421700">
        <w:rPr>
          <w:rFonts w:ascii="Helvetica" w:eastAsia="宋体" w:hAnsi="Helvetica" w:cs="宋体"/>
          <w:color w:val="000000"/>
          <w:kern w:val="0"/>
          <w:szCs w:val="21"/>
        </w:rPr>
        <w:t>. The diameters of these filaments are 0.22, 0.25, 0.3, 0.36, 0.4, and 0.42 mm, respectively. The 50% withdrawal threshold was determined by following the up–down method described by </w:t>
      </w:r>
      <w:proofErr w:type="spellStart"/>
      <w:r w:rsidR="004A5E23">
        <w:fldChar w:fldCharType="begin"/>
      </w:r>
      <w:r w:rsidR="004A5E23">
        <w:instrText xml:space="preserve"> HYPERLINK "https://www.jneurosci.org/content/26/4/1281" \l "ref-8" </w:instrText>
      </w:r>
      <w:r w:rsidR="004A5E23">
        <w:fldChar w:fldCharType="separate"/>
      </w:r>
      <w:r w:rsidRPr="00421700">
        <w:rPr>
          <w:rFonts w:ascii="inherit" w:eastAsia="宋体" w:hAnsi="inherit" w:cs="宋体"/>
          <w:b/>
          <w:bCs/>
          <w:color w:val="0077C0"/>
          <w:kern w:val="0"/>
          <w:szCs w:val="21"/>
          <w:bdr w:val="none" w:sz="0" w:space="0" w:color="auto" w:frame="1"/>
        </w:rPr>
        <w:t>Chaplan</w:t>
      </w:r>
      <w:proofErr w:type="spellEnd"/>
      <w:r w:rsidRPr="00421700">
        <w:rPr>
          <w:rFonts w:ascii="inherit" w:eastAsia="宋体" w:hAnsi="inherit" w:cs="宋体"/>
          <w:b/>
          <w:bCs/>
          <w:color w:val="0077C0"/>
          <w:kern w:val="0"/>
          <w:szCs w:val="21"/>
          <w:bdr w:val="none" w:sz="0" w:space="0" w:color="auto" w:frame="1"/>
        </w:rPr>
        <w:t xml:space="preserve"> et al. (1994)</w:t>
      </w:r>
      <w:r w:rsidR="004A5E23">
        <w:rPr>
          <w:rFonts w:ascii="inherit" w:eastAsia="宋体" w:hAnsi="inherit" w:cs="宋体"/>
          <w:b/>
          <w:bCs/>
          <w:color w:val="0077C0"/>
          <w:kern w:val="0"/>
          <w:szCs w:val="21"/>
          <w:bdr w:val="none" w:sz="0" w:space="0" w:color="auto" w:frame="1"/>
        </w:rPr>
        <w:fldChar w:fldCharType="end"/>
      </w:r>
      <w:r w:rsidRPr="00421700">
        <w:rPr>
          <w:rFonts w:ascii="Helvetica" w:eastAsia="宋体" w:hAnsi="Helvetica" w:cs="宋体"/>
          <w:color w:val="000000"/>
          <w:kern w:val="0"/>
          <w:szCs w:val="21"/>
        </w:rPr>
        <w:t xml:space="preserve">. A minute was allowed between tests on alternate </w:t>
      </w:r>
      <w:proofErr w:type="spellStart"/>
      <w:r w:rsidRPr="00421700">
        <w:rPr>
          <w:rFonts w:ascii="Helvetica" w:eastAsia="宋体" w:hAnsi="Helvetica" w:cs="宋体"/>
          <w:color w:val="000000"/>
          <w:kern w:val="0"/>
          <w:szCs w:val="21"/>
        </w:rPr>
        <w:t>hindpaws</w:t>
      </w:r>
      <w:proofErr w:type="spellEnd"/>
      <w:r w:rsidRPr="00421700">
        <w:rPr>
          <w:rFonts w:ascii="Helvetica" w:eastAsia="宋体" w:hAnsi="Helvetica" w:cs="宋体"/>
          <w:color w:val="000000"/>
          <w:kern w:val="0"/>
          <w:szCs w:val="21"/>
        </w:rPr>
        <w:t xml:space="preserve"> and 2–3 min between subsequent tests on the same </w:t>
      </w:r>
      <w:proofErr w:type="spellStart"/>
      <w:r w:rsidRPr="00421700">
        <w:rPr>
          <w:rFonts w:ascii="Helvetica" w:eastAsia="宋体" w:hAnsi="Helvetica" w:cs="宋体"/>
          <w:color w:val="000000"/>
          <w:kern w:val="0"/>
          <w:szCs w:val="21"/>
        </w:rPr>
        <w:t>hindpaw</w:t>
      </w:r>
      <w:proofErr w:type="spellEnd"/>
      <w:r w:rsidRPr="00421700">
        <w:rPr>
          <w:rFonts w:ascii="Helvetica" w:eastAsia="宋体" w:hAnsi="Helvetica" w:cs="宋体"/>
          <w:color w:val="000000"/>
          <w:kern w:val="0"/>
          <w:szCs w:val="21"/>
        </w:rPr>
        <w:t>. A positive response was recorded if the paw was withdrawn during the application of the von Frey filament, or immediately after its removal. The forces that never produced a positive response (withdrawal) in the contralateral foot and in normal untreated rats were 1.0 and 2.0 </w:t>
      </w:r>
      <w:r w:rsidRPr="00421700">
        <w:rPr>
          <w:rFonts w:ascii="inherit" w:eastAsia="宋体" w:hAnsi="inherit" w:cs="宋体"/>
          <w:i/>
          <w:iCs/>
          <w:color w:val="000000"/>
          <w:kern w:val="0"/>
          <w:szCs w:val="21"/>
          <w:bdr w:val="none" w:sz="0" w:space="0" w:color="auto" w:frame="1"/>
        </w:rPr>
        <w:t>g</w:t>
      </w:r>
      <w:r w:rsidRPr="00421700">
        <w:rPr>
          <w:rFonts w:ascii="Helvetica" w:eastAsia="宋体" w:hAnsi="Helvetica" w:cs="宋体"/>
          <w:color w:val="000000"/>
          <w:kern w:val="0"/>
          <w:szCs w:val="21"/>
        </w:rPr>
        <w:t> in all animals and 4.0 </w:t>
      </w:r>
      <w:r w:rsidRPr="00421700">
        <w:rPr>
          <w:rFonts w:ascii="inherit" w:eastAsia="宋体" w:hAnsi="inherit" w:cs="宋体"/>
          <w:i/>
          <w:iCs/>
          <w:color w:val="000000"/>
          <w:kern w:val="0"/>
          <w:szCs w:val="21"/>
          <w:bdr w:val="none" w:sz="0" w:space="0" w:color="auto" w:frame="1"/>
        </w:rPr>
        <w:t>g</w:t>
      </w:r>
      <w:r w:rsidRPr="00421700">
        <w:rPr>
          <w:rFonts w:ascii="Helvetica" w:eastAsia="宋体" w:hAnsi="Helvetica" w:cs="宋体"/>
          <w:color w:val="000000"/>
          <w:kern w:val="0"/>
          <w:szCs w:val="21"/>
        </w:rPr>
        <w:t xml:space="preserve"> in some animals. </w:t>
      </w:r>
      <w:proofErr w:type="gramStart"/>
      <w:r w:rsidRPr="00421700">
        <w:rPr>
          <w:rFonts w:ascii="Helvetica" w:eastAsia="宋体" w:hAnsi="Helvetica" w:cs="宋体"/>
          <w:color w:val="000000"/>
          <w:kern w:val="0"/>
          <w:szCs w:val="21"/>
        </w:rPr>
        <w:t>Thus</w:t>
      </w:r>
      <w:proofErr w:type="gramEnd"/>
      <w:r w:rsidRPr="00421700">
        <w:rPr>
          <w:rFonts w:ascii="Helvetica" w:eastAsia="宋体" w:hAnsi="Helvetica" w:cs="宋体"/>
          <w:color w:val="000000"/>
          <w:kern w:val="0"/>
          <w:szCs w:val="21"/>
        </w:rPr>
        <w:t xml:space="preserve"> responses to 1.0 and 2.0 </w:t>
      </w:r>
      <w:r w:rsidRPr="00421700">
        <w:rPr>
          <w:rFonts w:ascii="inherit" w:eastAsia="宋体" w:hAnsi="inherit" w:cs="宋体"/>
          <w:i/>
          <w:iCs/>
          <w:color w:val="000000"/>
          <w:kern w:val="0"/>
          <w:szCs w:val="21"/>
          <w:bdr w:val="none" w:sz="0" w:space="0" w:color="auto" w:frame="1"/>
        </w:rPr>
        <w:t>g</w:t>
      </w:r>
      <w:r w:rsidRPr="00421700">
        <w:rPr>
          <w:rFonts w:ascii="Helvetica" w:eastAsia="宋体" w:hAnsi="Helvetica" w:cs="宋体"/>
          <w:color w:val="000000"/>
          <w:kern w:val="0"/>
          <w:szCs w:val="21"/>
        </w:rPr>
        <w:t xml:space="preserve"> are considered to be allodynic, because they do not evoke a positive response in normal rats or contralateral hindlimbs. This test was applied to SNA and </w:t>
      </w:r>
      <w:proofErr w:type="spellStart"/>
      <w:r w:rsidRPr="00421700">
        <w:rPr>
          <w:rFonts w:ascii="Helvetica" w:eastAsia="宋体" w:hAnsi="Helvetica" w:cs="宋体"/>
          <w:color w:val="000000"/>
          <w:kern w:val="0"/>
          <w:szCs w:val="21"/>
        </w:rPr>
        <w:t>mSNA</w:t>
      </w:r>
      <w:proofErr w:type="spellEnd"/>
      <w:r w:rsidRPr="00421700">
        <w:rPr>
          <w:rFonts w:ascii="Helvetica" w:eastAsia="宋体" w:hAnsi="Helvetica" w:cs="宋体"/>
          <w:color w:val="000000"/>
          <w:kern w:val="0"/>
          <w:szCs w:val="21"/>
        </w:rPr>
        <w:t xml:space="preserve"> rats but not CFA-treated rats. The term allodynia throughout refers to mechanical allodynia.</w:t>
      </w:r>
    </w:p>
    <w:p w14:paraId="7007FD28" w14:textId="77777777" w:rsidR="00AE3B34" w:rsidRPr="00421700" w:rsidRDefault="00AE3B34" w:rsidP="00AE3B34">
      <w:pPr>
        <w:widowControl/>
        <w:shd w:val="clear" w:color="auto" w:fill="FFFFFF"/>
        <w:spacing w:before="225" w:after="225" w:line="274" w:lineRule="atLeast"/>
        <w:jc w:val="left"/>
        <w:textAlignment w:val="baseline"/>
        <w:outlineLvl w:val="4"/>
        <w:rPr>
          <w:rFonts w:ascii="Helvetica" w:eastAsia="宋体" w:hAnsi="Helvetica" w:cs="宋体"/>
          <w:caps/>
          <w:color w:val="6B6B6B"/>
          <w:kern w:val="0"/>
          <w:szCs w:val="21"/>
        </w:rPr>
      </w:pPr>
      <w:r w:rsidRPr="00421700">
        <w:rPr>
          <w:rFonts w:ascii="Helvetica" w:eastAsia="宋体" w:hAnsi="Helvetica" w:cs="宋体"/>
          <w:caps/>
          <w:color w:val="6B6B6B"/>
          <w:kern w:val="0"/>
          <w:szCs w:val="21"/>
        </w:rPr>
        <w:lastRenderedPageBreak/>
        <w:t>Withdrawal latency to a noxious heat stimulus (heat hyperalgesia).</w:t>
      </w:r>
    </w:p>
    <w:p w14:paraId="7D87E449" w14:textId="77777777" w:rsidR="00AE3B34" w:rsidRPr="00421700" w:rsidRDefault="00AE3B34" w:rsidP="00AE3B34">
      <w:pPr>
        <w:widowControl/>
        <w:shd w:val="clear" w:color="auto" w:fill="FFFFFF"/>
        <w:jc w:val="left"/>
        <w:textAlignment w:val="baseline"/>
        <w:rPr>
          <w:rFonts w:ascii="Helvetica" w:eastAsia="宋体" w:hAnsi="Helvetica" w:cs="宋体"/>
          <w:color w:val="000000"/>
          <w:kern w:val="0"/>
          <w:szCs w:val="21"/>
        </w:rPr>
      </w:pPr>
      <w:r w:rsidRPr="00421700">
        <w:rPr>
          <w:rFonts w:ascii="Helvetica" w:eastAsia="宋体" w:hAnsi="Helvetica" w:cs="宋体"/>
          <w:color w:val="000000"/>
          <w:kern w:val="0"/>
          <w:szCs w:val="21"/>
        </w:rPr>
        <w:t xml:space="preserve">A plantar (Hargreaves) </w:t>
      </w:r>
      <w:proofErr w:type="spellStart"/>
      <w:r w:rsidRPr="00421700">
        <w:rPr>
          <w:rFonts w:ascii="Helvetica" w:eastAsia="宋体" w:hAnsi="Helvetica" w:cs="宋体"/>
          <w:color w:val="000000"/>
          <w:kern w:val="0"/>
          <w:szCs w:val="21"/>
        </w:rPr>
        <w:t>analgesymeter</w:t>
      </w:r>
      <w:proofErr w:type="spellEnd"/>
      <w:r w:rsidRPr="00421700">
        <w:rPr>
          <w:rFonts w:ascii="Helvetica" w:eastAsia="宋体" w:hAnsi="Helvetica" w:cs="宋体"/>
          <w:color w:val="000000"/>
          <w:kern w:val="0"/>
          <w:szCs w:val="21"/>
        </w:rPr>
        <w:t xml:space="preserve"> (Ugo Basile, </w:t>
      </w:r>
      <w:proofErr w:type="spellStart"/>
      <w:r w:rsidRPr="00421700">
        <w:rPr>
          <w:rFonts w:ascii="Helvetica" w:eastAsia="宋体" w:hAnsi="Helvetica" w:cs="宋体"/>
          <w:color w:val="000000"/>
          <w:kern w:val="0"/>
          <w:szCs w:val="21"/>
        </w:rPr>
        <w:t>Comerio</w:t>
      </w:r>
      <w:proofErr w:type="spellEnd"/>
      <w:r w:rsidRPr="00421700">
        <w:rPr>
          <w:rFonts w:ascii="Helvetica" w:eastAsia="宋体" w:hAnsi="Helvetica" w:cs="宋体"/>
          <w:color w:val="000000"/>
          <w:kern w:val="0"/>
          <w:szCs w:val="21"/>
        </w:rPr>
        <w:t>, Italy) (</w:t>
      </w:r>
      <w:hyperlink r:id="rId316" w:anchor="ref-20" w:history="1">
        <w:r w:rsidRPr="00421700">
          <w:rPr>
            <w:rFonts w:ascii="inherit" w:eastAsia="宋体" w:hAnsi="inherit" w:cs="宋体"/>
            <w:b/>
            <w:bCs/>
            <w:color w:val="0077C0"/>
            <w:kern w:val="0"/>
            <w:szCs w:val="21"/>
            <w:bdr w:val="none" w:sz="0" w:space="0" w:color="auto" w:frame="1"/>
          </w:rPr>
          <w:t>Hargreaves et al., 1988</w:t>
        </w:r>
      </w:hyperlink>
      <w:r w:rsidRPr="00421700">
        <w:rPr>
          <w:rFonts w:ascii="Helvetica" w:eastAsia="宋体" w:hAnsi="Helvetica" w:cs="宋体"/>
          <w:color w:val="000000"/>
          <w:kern w:val="0"/>
          <w:szCs w:val="21"/>
        </w:rPr>
        <w:t xml:space="preserve">) was used to measure the latency of response to a noxious heat stimulus applied to the plantar surface of the </w:t>
      </w:r>
      <w:proofErr w:type="spellStart"/>
      <w:r w:rsidRPr="00421700">
        <w:rPr>
          <w:rFonts w:ascii="Helvetica" w:eastAsia="宋体" w:hAnsi="Helvetica" w:cs="宋体"/>
          <w:color w:val="000000"/>
          <w:kern w:val="0"/>
          <w:szCs w:val="21"/>
        </w:rPr>
        <w:t>hindpaw</w:t>
      </w:r>
      <w:proofErr w:type="spellEnd"/>
      <w:r w:rsidRPr="00421700">
        <w:rPr>
          <w:rFonts w:ascii="Helvetica" w:eastAsia="宋体" w:hAnsi="Helvetica" w:cs="宋体"/>
          <w:color w:val="000000"/>
          <w:kern w:val="0"/>
          <w:szCs w:val="21"/>
        </w:rPr>
        <w:t xml:space="preserve">. Each rat was placed on a 2-mm-thick glass floor under which the laser radiant heat source was positioned. The stimulus onset activated a timer that was automatically stopped when the evoked paw withdrawal was detected by a photocell. Three latency measurements were taken and averaged for each </w:t>
      </w:r>
      <w:proofErr w:type="spellStart"/>
      <w:r w:rsidRPr="00421700">
        <w:rPr>
          <w:rFonts w:ascii="Helvetica" w:eastAsia="宋体" w:hAnsi="Helvetica" w:cs="宋体"/>
          <w:color w:val="000000"/>
          <w:kern w:val="0"/>
          <w:szCs w:val="21"/>
        </w:rPr>
        <w:t>hindpaw</w:t>
      </w:r>
      <w:proofErr w:type="spellEnd"/>
      <w:r w:rsidRPr="00421700">
        <w:rPr>
          <w:rFonts w:ascii="Helvetica" w:eastAsia="宋体" w:hAnsi="Helvetica" w:cs="宋体"/>
          <w:color w:val="000000"/>
          <w:kern w:val="0"/>
          <w:szCs w:val="21"/>
        </w:rPr>
        <w:t xml:space="preserve"> during each session of testing. A reduced response latency to a normally noxious heat stimulus is considered to represent hyperalgesia. The </w:t>
      </w:r>
      <w:proofErr w:type="spellStart"/>
      <w:r w:rsidRPr="00421700">
        <w:rPr>
          <w:rFonts w:ascii="Helvetica" w:eastAsia="宋体" w:hAnsi="Helvetica" w:cs="宋体"/>
          <w:color w:val="000000"/>
          <w:kern w:val="0"/>
          <w:szCs w:val="21"/>
        </w:rPr>
        <w:t>hindpaws</w:t>
      </w:r>
      <w:proofErr w:type="spellEnd"/>
      <w:r w:rsidRPr="00421700">
        <w:rPr>
          <w:rFonts w:ascii="Helvetica" w:eastAsia="宋体" w:hAnsi="Helvetica" w:cs="宋体"/>
          <w:color w:val="000000"/>
          <w:kern w:val="0"/>
          <w:szCs w:val="21"/>
        </w:rPr>
        <w:t xml:space="preserve"> were tested alternately with at least 5 min intervals between consecutive stimuli on the same </w:t>
      </w:r>
      <w:proofErr w:type="spellStart"/>
      <w:r w:rsidRPr="00421700">
        <w:rPr>
          <w:rFonts w:ascii="Helvetica" w:eastAsia="宋体" w:hAnsi="Helvetica" w:cs="宋体"/>
          <w:color w:val="000000"/>
          <w:kern w:val="0"/>
          <w:szCs w:val="21"/>
        </w:rPr>
        <w:t>hindpaw</w:t>
      </w:r>
      <w:proofErr w:type="spellEnd"/>
      <w:r w:rsidRPr="00421700">
        <w:rPr>
          <w:rFonts w:ascii="Helvetica" w:eastAsia="宋体" w:hAnsi="Helvetica" w:cs="宋体"/>
          <w:color w:val="000000"/>
          <w:kern w:val="0"/>
          <w:szCs w:val="21"/>
        </w:rPr>
        <w:t xml:space="preserve">. This test was performed on SNA and </w:t>
      </w:r>
      <w:proofErr w:type="spellStart"/>
      <w:r w:rsidRPr="00421700">
        <w:rPr>
          <w:rFonts w:ascii="Helvetica" w:eastAsia="宋体" w:hAnsi="Helvetica" w:cs="宋体"/>
          <w:color w:val="000000"/>
          <w:kern w:val="0"/>
          <w:szCs w:val="21"/>
        </w:rPr>
        <w:t>mSNA</w:t>
      </w:r>
      <w:proofErr w:type="spellEnd"/>
      <w:r w:rsidRPr="00421700">
        <w:rPr>
          <w:rFonts w:ascii="Helvetica" w:eastAsia="宋体" w:hAnsi="Helvetica" w:cs="宋体"/>
          <w:color w:val="000000"/>
          <w:kern w:val="0"/>
          <w:szCs w:val="21"/>
        </w:rPr>
        <w:t xml:space="preserve"> rats only. The term hyperalgesia throughout refers to heat hyperalgesia.</w:t>
      </w:r>
    </w:p>
    <w:p w14:paraId="614DAEFE" w14:textId="77777777" w:rsidR="00AE3B34" w:rsidRDefault="00AE3B34" w:rsidP="00AE3B34"/>
    <w:p w14:paraId="73FBC3D9" w14:textId="7C3F2474" w:rsidR="00811CEB" w:rsidRDefault="00811CEB">
      <w:pPr>
        <w:widowControl/>
        <w:jc w:val="left"/>
      </w:pPr>
    </w:p>
    <w:p w14:paraId="374B685E" w14:textId="77777777" w:rsidR="00811CEB" w:rsidRPr="00811CEB" w:rsidRDefault="00811CEB" w:rsidP="00811CEB"/>
    <w:sectPr w:rsidR="00811CEB" w:rsidRPr="00811CEB" w:rsidSect="00084556">
      <w:pgSz w:w="11906" w:h="16838" w:code="9"/>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840BF6" w14:textId="77777777" w:rsidR="004A5E23" w:rsidRDefault="004A5E23" w:rsidP="00A32E52">
      <w:r>
        <w:separator/>
      </w:r>
    </w:p>
  </w:endnote>
  <w:endnote w:type="continuationSeparator" w:id="0">
    <w:p w14:paraId="35830BA6" w14:textId="77777777" w:rsidR="004A5E23" w:rsidRDefault="004A5E23" w:rsidP="00A32E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inherit">
    <w:altName w:val="Cambria"/>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9DA2E5" w14:textId="77777777" w:rsidR="004A5E23" w:rsidRDefault="004A5E23" w:rsidP="00A32E52">
      <w:r>
        <w:separator/>
      </w:r>
    </w:p>
  </w:footnote>
  <w:footnote w:type="continuationSeparator" w:id="0">
    <w:p w14:paraId="768F457B" w14:textId="77777777" w:rsidR="004A5E23" w:rsidRDefault="004A5E23" w:rsidP="00A32E5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4D4726"/>
    <w:multiLevelType w:val="hybridMultilevel"/>
    <w:tmpl w:val="12C46CC8"/>
    <w:lvl w:ilvl="0" w:tplc="6316B408">
      <w:start w:val="1"/>
      <w:numFmt w:val="lowerLetter"/>
      <w:lvlText w:val="(%1)"/>
      <w:lvlJc w:val="left"/>
      <w:pPr>
        <w:ind w:left="360" w:hanging="360"/>
      </w:pPr>
      <w:rPr>
        <w:rFonts w:hint="default"/>
        <w:b/>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483A198A"/>
    <w:multiLevelType w:val="multilevel"/>
    <w:tmpl w:val="E71804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1"/>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Y3MDY1MDIwszQ2MDNT0lEKTi0uzszPAykwqgUAL57a5iwAAAA="/>
  </w:docVars>
  <w:rsids>
    <w:rsidRoot w:val="007D4392"/>
    <w:rsid w:val="0000260D"/>
    <w:rsid w:val="00017871"/>
    <w:rsid w:val="00023194"/>
    <w:rsid w:val="000567E0"/>
    <w:rsid w:val="00067B60"/>
    <w:rsid w:val="00084556"/>
    <w:rsid w:val="000A47BE"/>
    <w:rsid w:val="000A6D36"/>
    <w:rsid w:val="00107B3D"/>
    <w:rsid w:val="00122543"/>
    <w:rsid w:val="00125E0C"/>
    <w:rsid w:val="00131D78"/>
    <w:rsid w:val="0013483A"/>
    <w:rsid w:val="0014053A"/>
    <w:rsid w:val="00164AA1"/>
    <w:rsid w:val="00191330"/>
    <w:rsid w:val="001A09F6"/>
    <w:rsid w:val="001F4B1E"/>
    <w:rsid w:val="001F713D"/>
    <w:rsid w:val="002035CE"/>
    <w:rsid w:val="00231BFF"/>
    <w:rsid w:val="00242C4C"/>
    <w:rsid w:val="0026340A"/>
    <w:rsid w:val="00284822"/>
    <w:rsid w:val="002A32BE"/>
    <w:rsid w:val="002C2678"/>
    <w:rsid w:val="002E0E2C"/>
    <w:rsid w:val="002E56E6"/>
    <w:rsid w:val="00303155"/>
    <w:rsid w:val="0031015A"/>
    <w:rsid w:val="00323A3C"/>
    <w:rsid w:val="00330BFE"/>
    <w:rsid w:val="00353B5F"/>
    <w:rsid w:val="003548E9"/>
    <w:rsid w:val="00382621"/>
    <w:rsid w:val="003852EF"/>
    <w:rsid w:val="003A3E7F"/>
    <w:rsid w:val="003B61D1"/>
    <w:rsid w:val="003D0833"/>
    <w:rsid w:val="00402A48"/>
    <w:rsid w:val="004033A2"/>
    <w:rsid w:val="0041497D"/>
    <w:rsid w:val="00454D99"/>
    <w:rsid w:val="00466CEC"/>
    <w:rsid w:val="00477C79"/>
    <w:rsid w:val="0048023A"/>
    <w:rsid w:val="00492FFF"/>
    <w:rsid w:val="004A5E23"/>
    <w:rsid w:val="004C0255"/>
    <w:rsid w:val="004E1E81"/>
    <w:rsid w:val="004E4E11"/>
    <w:rsid w:val="004F6144"/>
    <w:rsid w:val="005110AC"/>
    <w:rsid w:val="005114EB"/>
    <w:rsid w:val="0055653F"/>
    <w:rsid w:val="00564317"/>
    <w:rsid w:val="00581EFD"/>
    <w:rsid w:val="00585F99"/>
    <w:rsid w:val="005A015F"/>
    <w:rsid w:val="005B0F82"/>
    <w:rsid w:val="005D3D97"/>
    <w:rsid w:val="005D5BA7"/>
    <w:rsid w:val="005E52FB"/>
    <w:rsid w:val="005E6974"/>
    <w:rsid w:val="005F73CB"/>
    <w:rsid w:val="006026D9"/>
    <w:rsid w:val="006038AB"/>
    <w:rsid w:val="006765E5"/>
    <w:rsid w:val="006921F4"/>
    <w:rsid w:val="00693919"/>
    <w:rsid w:val="006E0DF0"/>
    <w:rsid w:val="00710127"/>
    <w:rsid w:val="00724512"/>
    <w:rsid w:val="00724AC9"/>
    <w:rsid w:val="00731600"/>
    <w:rsid w:val="00741F1D"/>
    <w:rsid w:val="007716FB"/>
    <w:rsid w:val="00781B78"/>
    <w:rsid w:val="007875AE"/>
    <w:rsid w:val="00795AE4"/>
    <w:rsid w:val="007B7337"/>
    <w:rsid w:val="007B733F"/>
    <w:rsid w:val="007D4392"/>
    <w:rsid w:val="007E6B56"/>
    <w:rsid w:val="007F307D"/>
    <w:rsid w:val="008113EF"/>
    <w:rsid w:val="00811CEB"/>
    <w:rsid w:val="00824538"/>
    <w:rsid w:val="008458B6"/>
    <w:rsid w:val="00867C2E"/>
    <w:rsid w:val="00897F31"/>
    <w:rsid w:val="0091446C"/>
    <w:rsid w:val="00935DD6"/>
    <w:rsid w:val="0093653E"/>
    <w:rsid w:val="009549C7"/>
    <w:rsid w:val="00987189"/>
    <w:rsid w:val="009A2850"/>
    <w:rsid w:val="009A48B7"/>
    <w:rsid w:val="009E5BDB"/>
    <w:rsid w:val="00A018A8"/>
    <w:rsid w:val="00A11A0D"/>
    <w:rsid w:val="00A32E52"/>
    <w:rsid w:val="00A46859"/>
    <w:rsid w:val="00A52667"/>
    <w:rsid w:val="00A5581E"/>
    <w:rsid w:val="00A67082"/>
    <w:rsid w:val="00A75605"/>
    <w:rsid w:val="00AE3B34"/>
    <w:rsid w:val="00B00BA2"/>
    <w:rsid w:val="00B027A4"/>
    <w:rsid w:val="00B872C4"/>
    <w:rsid w:val="00BA7299"/>
    <w:rsid w:val="00BB23F0"/>
    <w:rsid w:val="00BB5211"/>
    <w:rsid w:val="00BC0529"/>
    <w:rsid w:val="00BD6413"/>
    <w:rsid w:val="00BF7FD9"/>
    <w:rsid w:val="00C21DF6"/>
    <w:rsid w:val="00C87175"/>
    <w:rsid w:val="00C94B64"/>
    <w:rsid w:val="00CA2FBF"/>
    <w:rsid w:val="00CF58F9"/>
    <w:rsid w:val="00D01AFF"/>
    <w:rsid w:val="00D17A9E"/>
    <w:rsid w:val="00D53CF4"/>
    <w:rsid w:val="00D55330"/>
    <w:rsid w:val="00D74839"/>
    <w:rsid w:val="00D85035"/>
    <w:rsid w:val="00E03622"/>
    <w:rsid w:val="00E37B1B"/>
    <w:rsid w:val="00E43D96"/>
    <w:rsid w:val="00E818E7"/>
    <w:rsid w:val="00EC634C"/>
    <w:rsid w:val="00ED608B"/>
    <w:rsid w:val="00EE4F2A"/>
    <w:rsid w:val="00F10D28"/>
    <w:rsid w:val="00F4251E"/>
    <w:rsid w:val="00F5314E"/>
    <w:rsid w:val="00F533AA"/>
    <w:rsid w:val="00F777A5"/>
    <w:rsid w:val="00F81B7F"/>
    <w:rsid w:val="00F85FB8"/>
    <w:rsid w:val="00FA28B9"/>
    <w:rsid w:val="00FA3CAA"/>
    <w:rsid w:val="00FA5807"/>
    <w:rsid w:val="00FB5F29"/>
    <w:rsid w:val="00FC150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AB0ACA"/>
  <w15:chartTrackingRefBased/>
  <w15:docId w15:val="{DDB1BF65-2A96-4C01-8E7E-BDB545182D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32E52"/>
    <w:pPr>
      <w:tabs>
        <w:tab w:val="center" w:pos="4153"/>
        <w:tab w:val="right" w:pos="8306"/>
      </w:tabs>
      <w:snapToGrid w:val="0"/>
      <w:jc w:val="center"/>
    </w:pPr>
    <w:rPr>
      <w:sz w:val="18"/>
      <w:szCs w:val="18"/>
    </w:rPr>
  </w:style>
  <w:style w:type="character" w:customStyle="1" w:styleId="a4">
    <w:name w:val="页眉 字符"/>
    <w:basedOn w:val="a0"/>
    <w:link w:val="a3"/>
    <w:uiPriority w:val="99"/>
    <w:rsid w:val="00A32E52"/>
    <w:rPr>
      <w:sz w:val="18"/>
      <w:szCs w:val="18"/>
    </w:rPr>
  </w:style>
  <w:style w:type="paragraph" w:styleId="a5">
    <w:name w:val="footer"/>
    <w:basedOn w:val="a"/>
    <w:link w:val="a6"/>
    <w:uiPriority w:val="99"/>
    <w:unhideWhenUsed/>
    <w:rsid w:val="00A32E52"/>
    <w:pPr>
      <w:tabs>
        <w:tab w:val="center" w:pos="4153"/>
        <w:tab w:val="right" w:pos="8306"/>
      </w:tabs>
      <w:snapToGrid w:val="0"/>
      <w:jc w:val="left"/>
    </w:pPr>
    <w:rPr>
      <w:sz w:val="18"/>
      <w:szCs w:val="18"/>
    </w:rPr>
  </w:style>
  <w:style w:type="character" w:customStyle="1" w:styleId="a6">
    <w:name w:val="页脚 字符"/>
    <w:basedOn w:val="a0"/>
    <w:link w:val="a5"/>
    <w:uiPriority w:val="99"/>
    <w:rsid w:val="00A32E52"/>
    <w:rPr>
      <w:sz w:val="18"/>
      <w:szCs w:val="18"/>
    </w:rPr>
  </w:style>
  <w:style w:type="character" w:styleId="a7">
    <w:name w:val="Hyperlink"/>
    <w:basedOn w:val="a0"/>
    <w:uiPriority w:val="99"/>
    <w:unhideWhenUsed/>
    <w:rsid w:val="00A32E52"/>
    <w:rPr>
      <w:color w:val="0563C1" w:themeColor="hyperlink"/>
      <w:u w:val="single"/>
    </w:rPr>
  </w:style>
  <w:style w:type="character" w:styleId="a8">
    <w:name w:val="Unresolved Mention"/>
    <w:basedOn w:val="a0"/>
    <w:uiPriority w:val="99"/>
    <w:semiHidden/>
    <w:unhideWhenUsed/>
    <w:rsid w:val="00A32E52"/>
    <w:rPr>
      <w:color w:val="605E5C"/>
      <w:shd w:val="clear" w:color="auto" w:fill="E1DFDD"/>
    </w:rPr>
  </w:style>
  <w:style w:type="character" w:styleId="a9">
    <w:name w:val="FollowedHyperlink"/>
    <w:basedOn w:val="a0"/>
    <w:uiPriority w:val="99"/>
    <w:semiHidden/>
    <w:unhideWhenUsed/>
    <w:rsid w:val="00781B78"/>
    <w:rPr>
      <w:color w:val="954F72" w:themeColor="followedHyperlink"/>
      <w:u w:val="single"/>
    </w:rPr>
  </w:style>
  <w:style w:type="paragraph" w:styleId="aa">
    <w:name w:val="List Paragraph"/>
    <w:basedOn w:val="a"/>
    <w:uiPriority w:val="34"/>
    <w:qFormat/>
    <w:rsid w:val="00CA2FBF"/>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602330">
      <w:bodyDiv w:val="1"/>
      <w:marLeft w:val="0"/>
      <w:marRight w:val="0"/>
      <w:marTop w:val="0"/>
      <w:marBottom w:val="0"/>
      <w:divBdr>
        <w:top w:val="none" w:sz="0" w:space="0" w:color="auto"/>
        <w:left w:val="none" w:sz="0" w:space="0" w:color="auto"/>
        <w:bottom w:val="none" w:sz="0" w:space="0" w:color="auto"/>
        <w:right w:val="none" w:sz="0" w:space="0" w:color="auto"/>
      </w:divBdr>
    </w:div>
    <w:div w:id="100692246">
      <w:bodyDiv w:val="1"/>
      <w:marLeft w:val="0"/>
      <w:marRight w:val="0"/>
      <w:marTop w:val="0"/>
      <w:marBottom w:val="0"/>
      <w:divBdr>
        <w:top w:val="none" w:sz="0" w:space="0" w:color="auto"/>
        <w:left w:val="none" w:sz="0" w:space="0" w:color="auto"/>
        <w:bottom w:val="none" w:sz="0" w:space="0" w:color="auto"/>
        <w:right w:val="none" w:sz="0" w:space="0" w:color="auto"/>
      </w:divBdr>
      <w:divsChild>
        <w:div w:id="1456019863">
          <w:marLeft w:val="0"/>
          <w:marRight w:val="0"/>
          <w:marTop w:val="0"/>
          <w:marBottom w:val="240"/>
          <w:divBdr>
            <w:top w:val="none" w:sz="0" w:space="0" w:color="auto"/>
            <w:left w:val="none" w:sz="0" w:space="0" w:color="auto"/>
            <w:bottom w:val="none" w:sz="0" w:space="0" w:color="auto"/>
            <w:right w:val="none" w:sz="0" w:space="0" w:color="auto"/>
          </w:divBdr>
        </w:div>
        <w:div w:id="1192304360">
          <w:marLeft w:val="0"/>
          <w:marRight w:val="0"/>
          <w:marTop w:val="0"/>
          <w:marBottom w:val="240"/>
          <w:divBdr>
            <w:top w:val="none" w:sz="0" w:space="0" w:color="auto"/>
            <w:left w:val="none" w:sz="0" w:space="0" w:color="auto"/>
            <w:bottom w:val="none" w:sz="0" w:space="0" w:color="auto"/>
            <w:right w:val="none" w:sz="0" w:space="0" w:color="auto"/>
          </w:divBdr>
        </w:div>
        <w:div w:id="767382710">
          <w:marLeft w:val="0"/>
          <w:marRight w:val="0"/>
          <w:marTop w:val="0"/>
          <w:marBottom w:val="240"/>
          <w:divBdr>
            <w:top w:val="none" w:sz="0" w:space="0" w:color="auto"/>
            <w:left w:val="none" w:sz="0" w:space="0" w:color="auto"/>
            <w:bottom w:val="none" w:sz="0" w:space="0" w:color="auto"/>
            <w:right w:val="none" w:sz="0" w:space="0" w:color="auto"/>
          </w:divBdr>
        </w:div>
        <w:div w:id="1532960415">
          <w:marLeft w:val="0"/>
          <w:marRight w:val="0"/>
          <w:marTop w:val="0"/>
          <w:marBottom w:val="240"/>
          <w:divBdr>
            <w:top w:val="none" w:sz="0" w:space="0" w:color="auto"/>
            <w:left w:val="none" w:sz="0" w:space="0" w:color="auto"/>
            <w:bottom w:val="none" w:sz="0" w:space="0" w:color="auto"/>
            <w:right w:val="none" w:sz="0" w:space="0" w:color="auto"/>
          </w:divBdr>
        </w:div>
        <w:div w:id="1028411248">
          <w:marLeft w:val="0"/>
          <w:marRight w:val="0"/>
          <w:marTop w:val="0"/>
          <w:marBottom w:val="240"/>
          <w:divBdr>
            <w:top w:val="none" w:sz="0" w:space="0" w:color="auto"/>
            <w:left w:val="none" w:sz="0" w:space="0" w:color="auto"/>
            <w:bottom w:val="none" w:sz="0" w:space="0" w:color="auto"/>
            <w:right w:val="none" w:sz="0" w:space="0" w:color="auto"/>
          </w:divBdr>
        </w:div>
        <w:div w:id="745106980">
          <w:marLeft w:val="0"/>
          <w:marRight w:val="0"/>
          <w:marTop w:val="0"/>
          <w:marBottom w:val="240"/>
          <w:divBdr>
            <w:top w:val="none" w:sz="0" w:space="0" w:color="auto"/>
            <w:left w:val="none" w:sz="0" w:space="0" w:color="auto"/>
            <w:bottom w:val="none" w:sz="0" w:space="0" w:color="auto"/>
            <w:right w:val="none" w:sz="0" w:space="0" w:color="auto"/>
          </w:divBdr>
        </w:div>
        <w:div w:id="206720322">
          <w:marLeft w:val="0"/>
          <w:marRight w:val="0"/>
          <w:marTop w:val="0"/>
          <w:marBottom w:val="240"/>
          <w:divBdr>
            <w:top w:val="none" w:sz="0" w:space="0" w:color="auto"/>
            <w:left w:val="none" w:sz="0" w:space="0" w:color="auto"/>
            <w:bottom w:val="none" w:sz="0" w:space="0" w:color="auto"/>
            <w:right w:val="none" w:sz="0" w:space="0" w:color="auto"/>
          </w:divBdr>
        </w:div>
        <w:div w:id="139806522">
          <w:marLeft w:val="0"/>
          <w:marRight w:val="0"/>
          <w:marTop w:val="0"/>
          <w:marBottom w:val="240"/>
          <w:divBdr>
            <w:top w:val="none" w:sz="0" w:space="0" w:color="auto"/>
            <w:left w:val="none" w:sz="0" w:space="0" w:color="auto"/>
            <w:bottom w:val="none" w:sz="0" w:space="0" w:color="auto"/>
            <w:right w:val="none" w:sz="0" w:space="0" w:color="auto"/>
          </w:divBdr>
        </w:div>
        <w:div w:id="294680411">
          <w:marLeft w:val="0"/>
          <w:marRight w:val="0"/>
          <w:marTop w:val="0"/>
          <w:marBottom w:val="240"/>
          <w:divBdr>
            <w:top w:val="none" w:sz="0" w:space="0" w:color="auto"/>
            <w:left w:val="none" w:sz="0" w:space="0" w:color="auto"/>
            <w:bottom w:val="none" w:sz="0" w:space="0" w:color="auto"/>
            <w:right w:val="none" w:sz="0" w:space="0" w:color="auto"/>
          </w:divBdr>
        </w:div>
        <w:div w:id="2105686591">
          <w:marLeft w:val="0"/>
          <w:marRight w:val="0"/>
          <w:marTop w:val="0"/>
          <w:marBottom w:val="240"/>
          <w:divBdr>
            <w:top w:val="none" w:sz="0" w:space="0" w:color="auto"/>
            <w:left w:val="none" w:sz="0" w:space="0" w:color="auto"/>
            <w:bottom w:val="none" w:sz="0" w:space="0" w:color="auto"/>
            <w:right w:val="none" w:sz="0" w:space="0" w:color="auto"/>
          </w:divBdr>
        </w:div>
        <w:div w:id="414787577">
          <w:marLeft w:val="0"/>
          <w:marRight w:val="0"/>
          <w:marTop w:val="0"/>
          <w:marBottom w:val="240"/>
          <w:divBdr>
            <w:top w:val="none" w:sz="0" w:space="0" w:color="auto"/>
            <w:left w:val="none" w:sz="0" w:space="0" w:color="auto"/>
            <w:bottom w:val="none" w:sz="0" w:space="0" w:color="auto"/>
            <w:right w:val="none" w:sz="0" w:space="0" w:color="auto"/>
          </w:divBdr>
        </w:div>
      </w:divsChild>
    </w:div>
    <w:div w:id="112019123">
      <w:bodyDiv w:val="1"/>
      <w:marLeft w:val="0"/>
      <w:marRight w:val="0"/>
      <w:marTop w:val="0"/>
      <w:marBottom w:val="0"/>
      <w:divBdr>
        <w:top w:val="none" w:sz="0" w:space="0" w:color="auto"/>
        <w:left w:val="none" w:sz="0" w:space="0" w:color="auto"/>
        <w:bottom w:val="none" w:sz="0" w:space="0" w:color="auto"/>
        <w:right w:val="none" w:sz="0" w:space="0" w:color="auto"/>
      </w:divBdr>
    </w:div>
    <w:div w:id="143932975">
      <w:bodyDiv w:val="1"/>
      <w:marLeft w:val="0"/>
      <w:marRight w:val="0"/>
      <w:marTop w:val="0"/>
      <w:marBottom w:val="0"/>
      <w:divBdr>
        <w:top w:val="none" w:sz="0" w:space="0" w:color="auto"/>
        <w:left w:val="none" w:sz="0" w:space="0" w:color="auto"/>
        <w:bottom w:val="none" w:sz="0" w:space="0" w:color="auto"/>
        <w:right w:val="none" w:sz="0" w:space="0" w:color="auto"/>
      </w:divBdr>
      <w:divsChild>
        <w:div w:id="711275037">
          <w:marLeft w:val="0"/>
          <w:marRight w:val="0"/>
          <w:marTop w:val="0"/>
          <w:marBottom w:val="120"/>
          <w:divBdr>
            <w:top w:val="none" w:sz="0" w:space="0" w:color="auto"/>
            <w:left w:val="none" w:sz="0" w:space="0" w:color="auto"/>
            <w:bottom w:val="none" w:sz="0" w:space="0" w:color="auto"/>
            <w:right w:val="none" w:sz="0" w:space="0" w:color="auto"/>
          </w:divBdr>
          <w:divsChild>
            <w:div w:id="205220839">
              <w:marLeft w:val="0"/>
              <w:marRight w:val="0"/>
              <w:marTop w:val="0"/>
              <w:marBottom w:val="0"/>
              <w:divBdr>
                <w:top w:val="none" w:sz="0" w:space="0" w:color="auto"/>
                <w:left w:val="none" w:sz="0" w:space="0" w:color="auto"/>
                <w:bottom w:val="none" w:sz="0" w:space="0" w:color="auto"/>
                <w:right w:val="none" w:sz="0" w:space="0" w:color="auto"/>
              </w:divBdr>
              <w:divsChild>
                <w:div w:id="2056615027">
                  <w:marLeft w:val="0"/>
                  <w:marRight w:val="0"/>
                  <w:marTop w:val="0"/>
                  <w:marBottom w:val="0"/>
                  <w:divBdr>
                    <w:top w:val="none" w:sz="0" w:space="0" w:color="auto"/>
                    <w:left w:val="none" w:sz="0" w:space="0" w:color="auto"/>
                    <w:bottom w:val="none" w:sz="0" w:space="0" w:color="auto"/>
                    <w:right w:val="none" w:sz="0" w:space="0" w:color="auto"/>
                  </w:divBdr>
                  <w:divsChild>
                    <w:div w:id="189269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492586">
      <w:bodyDiv w:val="1"/>
      <w:marLeft w:val="0"/>
      <w:marRight w:val="0"/>
      <w:marTop w:val="0"/>
      <w:marBottom w:val="0"/>
      <w:divBdr>
        <w:top w:val="none" w:sz="0" w:space="0" w:color="auto"/>
        <w:left w:val="none" w:sz="0" w:space="0" w:color="auto"/>
        <w:bottom w:val="none" w:sz="0" w:space="0" w:color="auto"/>
        <w:right w:val="none" w:sz="0" w:space="0" w:color="auto"/>
      </w:divBdr>
      <w:divsChild>
        <w:div w:id="742021560">
          <w:marLeft w:val="0"/>
          <w:marRight w:val="0"/>
          <w:marTop w:val="225"/>
          <w:marBottom w:val="0"/>
          <w:divBdr>
            <w:top w:val="none" w:sz="0" w:space="0" w:color="auto"/>
            <w:left w:val="none" w:sz="0" w:space="0" w:color="auto"/>
            <w:bottom w:val="none" w:sz="0" w:space="0" w:color="auto"/>
            <w:right w:val="none" w:sz="0" w:space="0" w:color="auto"/>
          </w:divBdr>
        </w:div>
      </w:divsChild>
    </w:div>
    <w:div w:id="186066316">
      <w:bodyDiv w:val="1"/>
      <w:marLeft w:val="0"/>
      <w:marRight w:val="0"/>
      <w:marTop w:val="0"/>
      <w:marBottom w:val="0"/>
      <w:divBdr>
        <w:top w:val="none" w:sz="0" w:space="0" w:color="auto"/>
        <w:left w:val="none" w:sz="0" w:space="0" w:color="auto"/>
        <w:bottom w:val="none" w:sz="0" w:space="0" w:color="auto"/>
        <w:right w:val="none" w:sz="0" w:space="0" w:color="auto"/>
      </w:divBdr>
      <w:divsChild>
        <w:div w:id="1658336640">
          <w:marLeft w:val="0"/>
          <w:marRight w:val="0"/>
          <w:marTop w:val="0"/>
          <w:marBottom w:val="240"/>
          <w:divBdr>
            <w:top w:val="none" w:sz="0" w:space="0" w:color="auto"/>
            <w:left w:val="none" w:sz="0" w:space="0" w:color="auto"/>
            <w:bottom w:val="none" w:sz="0" w:space="0" w:color="auto"/>
            <w:right w:val="none" w:sz="0" w:space="0" w:color="auto"/>
          </w:divBdr>
          <w:divsChild>
            <w:div w:id="1668442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76740">
      <w:bodyDiv w:val="1"/>
      <w:marLeft w:val="0"/>
      <w:marRight w:val="0"/>
      <w:marTop w:val="0"/>
      <w:marBottom w:val="0"/>
      <w:divBdr>
        <w:top w:val="none" w:sz="0" w:space="0" w:color="auto"/>
        <w:left w:val="none" w:sz="0" w:space="0" w:color="auto"/>
        <w:bottom w:val="none" w:sz="0" w:space="0" w:color="auto"/>
        <w:right w:val="none" w:sz="0" w:space="0" w:color="auto"/>
      </w:divBdr>
    </w:div>
    <w:div w:id="295768446">
      <w:bodyDiv w:val="1"/>
      <w:marLeft w:val="0"/>
      <w:marRight w:val="0"/>
      <w:marTop w:val="0"/>
      <w:marBottom w:val="0"/>
      <w:divBdr>
        <w:top w:val="none" w:sz="0" w:space="0" w:color="auto"/>
        <w:left w:val="none" w:sz="0" w:space="0" w:color="auto"/>
        <w:bottom w:val="none" w:sz="0" w:space="0" w:color="auto"/>
        <w:right w:val="none" w:sz="0" w:space="0" w:color="auto"/>
      </w:divBdr>
    </w:div>
    <w:div w:id="302853743">
      <w:bodyDiv w:val="1"/>
      <w:marLeft w:val="0"/>
      <w:marRight w:val="0"/>
      <w:marTop w:val="0"/>
      <w:marBottom w:val="0"/>
      <w:divBdr>
        <w:top w:val="none" w:sz="0" w:space="0" w:color="auto"/>
        <w:left w:val="none" w:sz="0" w:space="0" w:color="auto"/>
        <w:bottom w:val="none" w:sz="0" w:space="0" w:color="auto"/>
        <w:right w:val="none" w:sz="0" w:space="0" w:color="auto"/>
      </w:divBdr>
    </w:div>
    <w:div w:id="317003267">
      <w:bodyDiv w:val="1"/>
      <w:marLeft w:val="0"/>
      <w:marRight w:val="0"/>
      <w:marTop w:val="0"/>
      <w:marBottom w:val="0"/>
      <w:divBdr>
        <w:top w:val="none" w:sz="0" w:space="0" w:color="auto"/>
        <w:left w:val="none" w:sz="0" w:space="0" w:color="auto"/>
        <w:bottom w:val="none" w:sz="0" w:space="0" w:color="auto"/>
        <w:right w:val="none" w:sz="0" w:space="0" w:color="auto"/>
      </w:divBdr>
      <w:divsChild>
        <w:div w:id="984117199">
          <w:marLeft w:val="0"/>
          <w:marRight w:val="0"/>
          <w:marTop w:val="0"/>
          <w:marBottom w:val="240"/>
          <w:divBdr>
            <w:top w:val="none" w:sz="0" w:space="0" w:color="auto"/>
            <w:left w:val="none" w:sz="0" w:space="0" w:color="auto"/>
            <w:bottom w:val="none" w:sz="0" w:space="0" w:color="auto"/>
            <w:right w:val="none" w:sz="0" w:space="0" w:color="auto"/>
          </w:divBdr>
          <w:divsChild>
            <w:div w:id="203799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398473">
      <w:bodyDiv w:val="1"/>
      <w:marLeft w:val="0"/>
      <w:marRight w:val="0"/>
      <w:marTop w:val="0"/>
      <w:marBottom w:val="0"/>
      <w:divBdr>
        <w:top w:val="none" w:sz="0" w:space="0" w:color="auto"/>
        <w:left w:val="none" w:sz="0" w:space="0" w:color="auto"/>
        <w:bottom w:val="none" w:sz="0" w:space="0" w:color="auto"/>
        <w:right w:val="none" w:sz="0" w:space="0" w:color="auto"/>
      </w:divBdr>
      <w:divsChild>
        <w:div w:id="389311866">
          <w:marLeft w:val="0"/>
          <w:marRight w:val="0"/>
          <w:marTop w:val="0"/>
          <w:marBottom w:val="0"/>
          <w:divBdr>
            <w:top w:val="none" w:sz="0" w:space="0" w:color="auto"/>
            <w:left w:val="none" w:sz="0" w:space="0" w:color="auto"/>
            <w:bottom w:val="none" w:sz="0" w:space="0" w:color="auto"/>
            <w:right w:val="none" w:sz="0" w:space="0" w:color="auto"/>
          </w:divBdr>
          <w:divsChild>
            <w:div w:id="1124352982">
              <w:marLeft w:val="0"/>
              <w:marRight w:val="0"/>
              <w:marTop w:val="0"/>
              <w:marBottom w:val="0"/>
              <w:divBdr>
                <w:top w:val="none" w:sz="0" w:space="0" w:color="auto"/>
                <w:left w:val="none" w:sz="0" w:space="0" w:color="auto"/>
                <w:bottom w:val="none" w:sz="0" w:space="0" w:color="auto"/>
                <w:right w:val="none" w:sz="0" w:space="0" w:color="auto"/>
              </w:divBdr>
              <w:divsChild>
                <w:div w:id="974262909">
                  <w:marLeft w:val="0"/>
                  <w:marRight w:val="0"/>
                  <w:marTop w:val="0"/>
                  <w:marBottom w:val="0"/>
                  <w:divBdr>
                    <w:top w:val="none" w:sz="0" w:space="0" w:color="auto"/>
                    <w:left w:val="none" w:sz="0" w:space="0" w:color="auto"/>
                    <w:bottom w:val="none" w:sz="0" w:space="0" w:color="auto"/>
                    <w:right w:val="none" w:sz="0" w:space="0" w:color="auto"/>
                  </w:divBdr>
                  <w:divsChild>
                    <w:div w:id="33353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4085579">
      <w:bodyDiv w:val="1"/>
      <w:marLeft w:val="0"/>
      <w:marRight w:val="0"/>
      <w:marTop w:val="0"/>
      <w:marBottom w:val="0"/>
      <w:divBdr>
        <w:top w:val="none" w:sz="0" w:space="0" w:color="auto"/>
        <w:left w:val="none" w:sz="0" w:space="0" w:color="auto"/>
        <w:bottom w:val="none" w:sz="0" w:space="0" w:color="auto"/>
        <w:right w:val="none" w:sz="0" w:space="0" w:color="auto"/>
      </w:divBdr>
      <w:divsChild>
        <w:div w:id="212690972">
          <w:marLeft w:val="0"/>
          <w:marRight w:val="0"/>
          <w:marTop w:val="0"/>
          <w:marBottom w:val="240"/>
          <w:divBdr>
            <w:top w:val="none" w:sz="0" w:space="0" w:color="auto"/>
            <w:left w:val="none" w:sz="0" w:space="0" w:color="auto"/>
            <w:bottom w:val="none" w:sz="0" w:space="0" w:color="auto"/>
            <w:right w:val="none" w:sz="0" w:space="0" w:color="auto"/>
          </w:divBdr>
        </w:div>
        <w:div w:id="268512567">
          <w:marLeft w:val="0"/>
          <w:marRight w:val="0"/>
          <w:marTop w:val="0"/>
          <w:marBottom w:val="240"/>
          <w:divBdr>
            <w:top w:val="none" w:sz="0" w:space="0" w:color="auto"/>
            <w:left w:val="none" w:sz="0" w:space="0" w:color="auto"/>
            <w:bottom w:val="none" w:sz="0" w:space="0" w:color="auto"/>
            <w:right w:val="none" w:sz="0" w:space="0" w:color="auto"/>
          </w:divBdr>
        </w:div>
      </w:divsChild>
    </w:div>
    <w:div w:id="477918669">
      <w:bodyDiv w:val="1"/>
      <w:marLeft w:val="0"/>
      <w:marRight w:val="0"/>
      <w:marTop w:val="0"/>
      <w:marBottom w:val="0"/>
      <w:divBdr>
        <w:top w:val="none" w:sz="0" w:space="0" w:color="auto"/>
        <w:left w:val="none" w:sz="0" w:space="0" w:color="auto"/>
        <w:bottom w:val="none" w:sz="0" w:space="0" w:color="auto"/>
        <w:right w:val="none" w:sz="0" w:space="0" w:color="auto"/>
      </w:divBdr>
    </w:div>
    <w:div w:id="563564427">
      <w:bodyDiv w:val="1"/>
      <w:marLeft w:val="0"/>
      <w:marRight w:val="0"/>
      <w:marTop w:val="0"/>
      <w:marBottom w:val="0"/>
      <w:divBdr>
        <w:top w:val="none" w:sz="0" w:space="0" w:color="auto"/>
        <w:left w:val="none" w:sz="0" w:space="0" w:color="auto"/>
        <w:bottom w:val="none" w:sz="0" w:space="0" w:color="auto"/>
        <w:right w:val="none" w:sz="0" w:space="0" w:color="auto"/>
      </w:divBdr>
      <w:divsChild>
        <w:div w:id="1819227744">
          <w:marLeft w:val="0"/>
          <w:marRight w:val="0"/>
          <w:marTop w:val="0"/>
          <w:marBottom w:val="360"/>
          <w:divBdr>
            <w:top w:val="none" w:sz="0" w:space="0" w:color="auto"/>
            <w:left w:val="none" w:sz="0" w:space="0" w:color="auto"/>
            <w:bottom w:val="none" w:sz="0" w:space="0" w:color="auto"/>
            <w:right w:val="none" w:sz="0" w:space="0" w:color="auto"/>
          </w:divBdr>
        </w:div>
      </w:divsChild>
    </w:div>
    <w:div w:id="573245757">
      <w:bodyDiv w:val="1"/>
      <w:marLeft w:val="0"/>
      <w:marRight w:val="0"/>
      <w:marTop w:val="0"/>
      <w:marBottom w:val="0"/>
      <w:divBdr>
        <w:top w:val="none" w:sz="0" w:space="0" w:color="auto"/>
        <w:left w:val="none" w:sz="0" w:space="0" w:color="auto"/>
        <w:bottom w:val="none" w:sz="0" w:space="0" w:color="auto"/>
        <w:right w:val="none" w:sz="0" w:space="0" w:color="auto"/>
      </w:divBdr>
      <w:divsChild>
        <w:div w:id="1642037007">
          <w:marLeft w:val="0"/>
          <w:marRight w:val="0"/>
          <w:marTop w:val="0"/>
          <w:marBottom w:val="360"/>
          <w:divBdr>
            <w:top w:val="none" w:sz="0" w:space="0" w:color="auto"/>
            <w:left w:val="none" w:sz="0" w:space="0" w:color="auto"/>
            <w:bottom w:val="none" w:sz="0" w:space="0" w:color="auto"/>
            <w:right w:val="none" w:sz="0" w:space="0" w:color="auto"/>
          </w:divBdr>
        </w:div>
      </w:divsChild>
    </w:div>
    <w:div w:id="597906184">
      <w:bodyDiv w:val="1"/>
      <w:marLeft w:val="0"/>
      <w:marRight w:val="0"/>
      <w:marTop w:val="0"/>
      <w:marBottom w:val="0"/>
      <w:divBdr>
        <w:top w:val="none" w:sz="0" w:space="0" w:color="auto"/>
        <w:left w:val="none" w:sz="0" w:space="0" w:color="auto"/>
        <w:bottom w:val="none" w:sz="0" w:space="0" w:color="auto"/>
        <w:right w:val="none" w:sz="0" w:space="0" w:color="auto"/>
      </w:divBdr>
    </w:div>
    <w:div w:id="604994704">
      <w:bodyDiv w:val="1"/>
      <w:marLeft w:val="0"/>
      <w:marRight w:val="0"/>
      <w:marTop w:val="0"/>
      <w:marBottom w:val="0"/>
      <w:divBdr>
        <w:top w:val="none" w:sz="0" w:space="0" w:color="auto"/>
        <w:left w:val="none" w:sz="0" w:space="0" w:color="auto"/>
        <w:bottom w:val="none" w:sz="0" w:space="0" w:color="auto"/>
        <w:right w:val="none" w:sz="0" w:space="0" w:color="auto"/>
      </w:divBdr>
    </w:div>
    <w:div w:id="633147230">
      <w:bodyDiv w:val="1"/>
      <w:marLeft w:val="0"/>
      <w:marRight w:val="0"/>
      <w:marTop w:val="0"/>
      <w:marBottom w:val="0"/>
      <w:divBdr>
        <w:top w:val="none" w:sz="0" w:space="0" w:color="auto"/>
        <w:left w:val="none" w:sz="0" w:space="0" w:color="auto"/>
        <w:bottom w:val="none" w:sz="0" w:space="0" w:color="auto"/>
        <w:right w:val="none" w:sz="0" w:space="0" w:color="auto"/>
      </w:divBdr>
      <w:divsChild>
        <w:div w:id="783501041">
          <w:marLeft w:val="0"/>
          <w:marRight w:val="0"/>
          <w:marTop w:val="0"/>
          <w:marBottom w:val="360"/>
          <w:divBdr>
            <w:top w:val="none" w:sz="0" w:space="0" w:color="auto"/>
            <w:left w:val="none" w:sz="0" w:space="0" w:color="auto"/>
            <w:bottom w:val="none" w:sz="0" w:space="0" w:color="auto"/>
            <w:right w:val="none" w:sz="0" w:space="0" w:color="auto"/>
          </w:divBdr>
        </w:div>
      </w:divsChild>
    </w:div>
    <w:div w:id="726294488">
      <w:bodyDiv w:val="1"/>
      <w:marLeft w:val="0"/>
      <w:marRight w:val="0"/>
      <w:marTop w:val="0"/>
      <w:marBottom w:val="0"/>
      <w:divBdr>
        <w:top w:val="none" w:sz="0" w:space="0" w:color="auto"/>
        <w:left w:val="none" w:sz="0" w:space="0" w:color="auto"/>
        <w:bottom w:val="none" w:sz="0" w:space="0" w:color="auto"/>
        <w:right w:val="none" w:sz="0" w:space="0" w:color="auto"/>
      </w:divBdr>
    </w:div>
    <w:div w:id="832374843">
      <w:bodyDiv w:val="1"/>
      <w:marLeft w:val="0"/>
      <w:marRight w:val="0"/>
      <w:marTop w:val="0"/>
      <w:marBottom w:val="0"/>
      <w:divBdr>
        <w:top w:val="none" w:sz="0" w:space="0" w:color="auto"/>
        <w:left w:val="none" w:sz="0" w:space="0" w:color="auto"/>
        <w:bottom w:val="none" w:sz="0" w:space="0" w:color="auto"/>
        <w:right w:val="none" w:sz="0" w:space="0" w:color="auto"/>
      </w:divBdr>
    </w:div>
    <w:div w:id="842017548">
      <w:bodyDiv w:val="1"/>
      <w:marLeft w:val="0"/>
      <w:marRight w:val="0"/>
      <w:marTop w:val="0"/>
      <w:marBottom w:val="0"/>
      <w:divBdr>
        <w:top w:val="none" w:sz="0" w:space="0" w:color="auto"/>
        <w:left w:val="none" w:sz="0" w:space="0" w:color="auto"/>
        <w:bottom w:val="none" w:sz="0" w:space="0" w:color="auto"/>
        <w:right w:val="none" w:sz="0" w:space="0" w:color="auto"/>
      </w:divBdr>
    </w:div>
    <w:div w:id="849296490">
      <w:bodyDiv w:val="1"/>
      <w:marLeft w:val="0"/>
      <w:marRight w:val="0"/>
      <w:marTop w:val="0"/>
      <w:marBottom w:val="0"/>
      <w:divBdr>
        <w:top w:val="none" w:sz="0" w:space="0" w:color="auto"/>
        <w:left w:val="none" w:sz="0" w:space="0" w:color="auto"/>
        <w:bottom w:val="none" w:sz="0" w:space="0" w:color="auto"/>
        <w:right w:val="none" w:sz="0" w:space="0" w:color="auto"/>
      </w:divBdr>
    </w:div>
    <w:div w:id="857351850">
      <w:bodyDiv w:val="1"/>
      <w:marLeft w:val="0"/>
      <w:marRight w:val="0"/>
      <w:marTop w:val="0"/>
      <w:marBottom w:val="0"/>
      <w:divBdr>
        <w:top w:val="none" w:sz="0" w:space="0" w:color="auto"/>
        <w:left w:val="none" w:sz="0" w:space="0" w:color="auto"/>
        <w:bottom w:val="none" w:sz="0" w:space="0" w:color="auto"/>
        <w:right w:val="none" w:sz="0" w:space="0" w:color="auto"/>
      </w:divBdr>
    </w:div>
    <w:div w:id="906452873">
      <w:bodyDiv w:val="1"/>
      <w:marLeft w:val="0"/>
      <w:marRight w:val="0"/>
      <w:marTop w:val="0"/>
      <w:marBottom w:val="0"/>
      <w:divBdr>
        <w:top w:val="none" w:sz="0" w:space="0" w:color="auto"/>
        <w:left w:val="none" w:sz="0" w:space="0" w:color="auto"/>
        <w:bottom w:val="none" w:sz="0" w:space="0" w:color="auto"/>
        <w:right w:val="none" w:sz="0" w:space="0" w:color="auto"/>
      </w:divBdr>
      <w:divsChild>
        <w:div w:id="1145506754">
          <w:marLeft w:val="0"/>
          <w:marRight w:val="0"/>
          <w:marTop w:val="0"/>
          <w:marBottom w:val="240"/>
          <w:divBdr>
            <w:top w:val="none" w:sz="0" w:space="0" w:color="auto"/>
            <w:left w:val="none" w:sz="0" w:space="0" w:color="auto"/>
            <w:bottom w:val="none" w:sz="0" w:space="0" w:color="auto"/>
            <w:right w:val="none" w:sz="0" w:space="0" w:color="auto"/>
          </w:divBdr>
        </w:div>
        <w:div w:id="456870606">
          <w:marLeft w:val="0"/>
          <w:marRight w:val="0"/>
          <w:marTop w:val="0"/>
          <w:marBottom w:val="240"/>
          <w:divBdr>
            <w:top w:val="none" w:sz="0" w:space="0" w:color="auto"/>
            <w:left w:val="none" w:sz="0" w:space="0" w:color="auto"/>
            <w:bottom w:val="none" w:sz="0" w:space="0" w:color="auto"/>
            <w:right w:val="none" w:sz="0" w:space="0" w:color="auto"/>
          </w:divBdr>
        </w:div>
        <w:div w:id="1397313612">
          <w:marLeft w:val="0"/>
          <w:marRight w:val="0"/>
          <w:marTop w:val="0"/>
          <w:marBottom w:val="240"/>
          <w:divBdr>
            <w:top w:val="none" w:sz="0" w:space="0" w:color="auto"/>
            <w:left w:val="none" w:sz="0" w:space="0" w:color="auto"/>
            <w:bottom w:val="none" w:sz="0" w:space="0" w:color="auto"/>
            <w:right w:val="none" w:sz="0" w:space="0" w:color="auto"/>
          </w:divBdr>
        </w:div>
        <w:div w:id="594824018">
          <w:marLeft w:val="0"/>
          <w:marRight w:val="0"/>
          <w:marTop w:val="0"/>
          <w:marBottom w:val="240"/>
          <w:divBdr>
            <w:top w:val="none" w:sz="0" w:space="0" w:color="auto"/>
            <w:left w:val="none" w:sz="0" w:space="0" w:color="auto"/>
            <w:bottom w:val="none" w:sz="0" w:space="0" w:color="auto"/>
            <w:right w:val="none" w:sz="0" w:space="0" w:color="auto"/>
          </w:divBdr>
        </w:div>
      </w:divsChild>
    </w:div>
    <w:div w:id="931360221">
      <w:bodyDiv w:val="1"/>
      <w:marLeft w:val="0"/>
      <w:marRight w:val="0"/>
      <w:marTop w:val="0"/>
      <w:marBottom w:val="0"/>
      <w:divBdr>
        <w:top w:val="none" w:sz="0" w:space="0" w:color="auto"/>
        <w:left w:val="none" w:sz="0" w:space="0" w:color="auto"/>
        <w:bottom w:val="none" w:sz="0" w:space="0" w:color="auto"/>
        <w:right w:val="none" w:sz="0" w:space="0" w:color="auto"/>
      </w:divBdr>
      <w:divsChild>
        <w:div w:id="1179588227">
          <w:marLeft w:val="0"/>
          <w:marRight w:val="0"/>
          <w:marTop w:val="0"/>
          <w:marBottom w:val="240"/>
          <w:divBdr>
            <w:top w:val="none" w:sz="0" w:space="0" w:color="auto"/>
            <w:left w:val="none" w:sz="0" w:space="0" w:color="auto"/>
            <w:bottom w:val="none" w:sz="0" w:space="0" w:color="auto"/>
            <w:right w:val="none" w:sz="0" w:space="0" w:color="auto"/>
          </w:divBdr>
        </w:div>
        <w:div w:id="606158506">
          <w:marLeft w:val="0"/>
          <w:marRight w:val="0"/>
          <w:marTop w:val="0"/>
          <w:marBottom w:val="240"/>
          <w:divBdr>
            <w:top w:val="none" w:sz="0" w:space="0" w:color="auto"/>
            <w:left w:val="none" w:sz="0" w:space="0" w:color="auto"/>
            <w:bottom w:val="none" w:sz="0" w:space="0" w:color="auto"/>
            <w:right w:val="none" w:sz="0" w:space="0" w:color="auto"/>
          </w:divBdr>
        </w:div>
        <w:div w:id="572666425">
          <w:marLeft w:val="0"/>
          <w:marRight w:val="0"/>
          <w:marTop w:val="0"/>
          <w:marBottom w:val="240"/>
          <w:divBdr>
            <w:top w:val="none" w:sz="0" w:space="0" w:color="auto"/>
            <w:left w:val="none" w:sz="0" w:space="0" w:color="auto"/>
            <w:bottom w:val="none" w:sz="0" w:space="0" w:color="auto"/>
            <w:right w:val="none" w:sz="0" w:space="0" w:color="auto"/>
          </w:divBdr>
        </w:div>
        <w:div w:id="993871940">
          <w:marLeft w:val="0"/>
          <w:marRight w:val="0"/>
          <w:marTop w:val="0"/>
          <w:marBottom w:val="240"/>
          <w:divBdr>
            <w:top w:val="none" w:sz="0" w:space="0" w:color="auto"/>
            <w:left w:val="none" w:sz="0" w:space="0" w:color="auto"/>
            <w:bottom w:val="none" w:sz="0" w:space="0" w:color="auto"/>
            <w:right w:val="none" w:sz="0" w:space="0" w:color="auto"/>
          </w:divBdr>
        </w:div>
        <w:div w:id="1680768007">
          <w:marLeft w:val="0"/>
          <w:marRight w:val="0"/>
          <w:marTop w:val="0"/>
          <w:marBottom w:val="240"/>
          <w:divBdr>
            <w:top w:val="none" w:sz="0" w:space="0" w:color="auto"/>
            <w:left w:val="none" w:sz="0" w:space="0" w:color="auto"/>
            <w:bottom w:val="none" w:sz="0" w:space="0" w:color="auto"/>
            <w:right w:val="none" w:sz="0" w:space="0" w:color="auto"/>
          </w:divBdr>
        </w:div>
        <w:div w:id="1248225461">
          <w:marLeft w:val="0"/>
          <w:marRight w:val="0"/>
          <w:marTop w:val="0"/>
          <w:marBottom w:val="240"/>
          <w:divBdr>
            <w:top w:val="none" w:sz="0" w:space="0" w:color="auto"/>
            <w:left w:val="none" w:sz="0" w:space="0" w:color="auto"/>
            <w:bottom w:val="none" w:sz="0" w:space="0" w:color="auto"/>
            <w:right w:val="none" w:sz="0" w:space="0" w:color="auto"/>
          </w:divBdr>
        </w:div>
        <w:div w:id="494733204">
          <w:marLeft w:val="0"/>
          <w:marRight w:val="0"/>
          <w:marTop w:val="0"/>
          <w:marBottom w:val="240"/>
          <w:divBdr>
            <w:top w:val="none" w:sz="0" w:space="0" w:color="auto"/>
            <w:left w:val="none" w:sz="0" w:space="0" w:color="auto"/>
            <w:bottom w:val="none" w:sz="0" w:space="0" w:color="auto"/>
            <w:right w:val="none" w:sz="0" w:space="0" w:color="auto"/>
          </w:divBdr>
        </w:div>
        <w:div w:id="1186678718">
          <w:marLeft w:val="0"/>
          <w:marRight w:val="0"/>
          <w:marTop w:val="0"/>
          <w:marBottom w:val="240"/>
          <w:divBdr>
            <w:top w:val="none" w:sz="0" w:space="0" w:color="auto"/>
            <w:left w:val="none" w:sz="0" w:space="0" w:color="auto"/>
            <w:bottom w:val="none" w:sz="0" w:space="0" w:color="auto"/>
            <w:right w:val="none" w:sz="0" w:space="0" w:color="auto"/>
          </w:divBdr>
        </w:div>
        <w:div w:id="1607032422">
          <w:marLeft w:val="0"/>
          <w:marRight w:val="0"/>
          <w:marTop w:val="0"/>
          <w:marBottom w:val="240"/>
          <w:divBdr>
            <w:top w:val="none" w:sz="0" w:space="0" w:color="auto"/>
            <w:left w:val="none" w:sz="0" w:space="0" w:color="auto"/>
            <w:bottom w:val="none" w:sz="0" w:space="0" w:color="auto"/>
            <w:right w:val="none" w:sz="0" w:space="0" w:color="auto"/>
          </w:divBdr>
        </w:div>
        <w:div w:id="560293329">
          <w:marLeft w:val="0"/>
          <w:marRight w:val="0"/>
          <w:marTop w:val="0"/>
          <w:marBottom w:val="240"/>
          <w:divBdr>
            <w:top w:val="none" w:sz="0" w:space="0" w:color="auto"/>
            <w:left w:val="none" w:sz="0" w:space="0" w:color="auto"/>
            <w:bottom w:val="none" w:sz="0" w:space="0" w:color="auto"/>
            <w:right w:val="none" w:sz="0" w:space="0" w:color="auto"/>
          </w:divBdr>
        </w:div>
      </w:divsChild>
    </w:div>
    <w:div w:id="954140431">
      <w:bodyDiv w:val="1"/>
      <w:marLeft w:val="0"/>
      <w:marRight w:val="0"/>
      <w:marTop w:val="0"/>
      <w:marBottom w:val="0"/>
      <w:divBdr>
        <w:top w:val="none" w:sz="0" w:space="0" w:color="auto"/>
        <w:left w:val="none" w:sz="0" w:space="0" w:color="auto"/>
        <w:bottom w:val="none" w:sz="0" w:space="0" w:color="auto"/>
        <w:right w:val="none" w:sz="0" w:space="0" w:color="auto"/>
      </w:divBdr>
    </w:div>
    <w:div w:id="971517441">
      <w:bodyDiv w:val="1"/>
      <w:marLeft w:val="0"/>
      <w:marRight w:val="0"/>
      <w:marTop w:val="0"/>
      <w:marBottom w:val="0"/>
      <w:divBdr>
        <w:top w:val="none" w:sz="0" w:space="0" w:color="auto"/>
        <w:left w:val="none" w:sz="0" w:space="0" w:color="auto"/>
        <w:bottom w:val="none" w:sz="0" w:space="0" w:color="auto"/>
        <w:right w:val="none" w:sz="0" w:space="0" w:color="auto"/>
      </w:divBdr>
    </w:div>
    <w:div w:id="973407487">
      <w:bodyDiv w:val="1"/>
      <w:marLeft w:val="0"/>
      <w:marRight w:val="0"/>
      <w:marTop w:val="0"/>
      <w:marBottom w:val="0"/>
      <w:divBdr>
        <w:top w:val="none" w:sz="0" w:space="0" w:color="auto"/>
        <w:left w:val="none" w:sz="0" w:space="0" w:color="auto"/>
        <w:bottom w:val="none" w:sz="0" w:space="0" w:color="auto"/>
        <w:right w:val="none" w:sz="0" w:space="0" w:color="auto"/>
      </w:divBdr>
    </w:div>
    <w:div w:id="1003126045">
      <w:bodyDiv w:val="1"/>
      <w:marLeft w:val="0"/>
      <w:marRight w:val="0"/>
      <w:marTop w:val="0"/>
      <w:marBottom w:val="0"/>
      <w:divBdr>
        <w:top w:val="none" w:sz="0" w:space="0" w:color="auto"/>
        <w:left w:val="none" w:sz="0" w:space="0" w:color="auto"/>
        <w:bottom w:val="none" w:sz="0" w:space="0" w:color="auto"/>
        <w:right w:val="none" w:sz="0" w:space="0" w:color="auto"/>
      </w:divBdr>
    </w:div>
    <w:div w:id="1030834774">
      <w:bodyDiv w:val="1"/>
      <w:marLeft w:val="0"/>
      <w:marRight w:val="0"/>
      <w:marTop w:val="0"/>
      <w:marBottom w:val="0"/>
      <w:divBdr>
        <w:top w:val="none" w:sz="0" w:space="0" w:color="auto"/>
        <w:left w:val="none" w:sz="0" w:space="0" w:color="auto"/>
        <w:bottom w:val="none" w:sz="0" w:space="0" w:color="auto"/>
        <w:right w:val="none" w:sz="0" w:space="0" w:color="auto"/>
      </w:divBdr>
      <w:divsChild>
        <w:div w:id="1432163738">
          <w:marLeft w:val="0"/>
          <w:marRight w:val="0"/>
          <w:marTop w:val="0"/>
          <w:marBottom w:val="240"/>
          <w:divBdr>
            <w:top w:val="none" w:sz="0" w:space="0" w:color="auto"/>
            <w:left w:val="none" w:sz="0" w:space="0" w:color="auto"/>
            <w:bottom w:val="none" w:sz="0" w:space="0" w:color="auto"/>
            <w:right w:val="none" w:sz="0" w:space="0" w:color="auto"/>
          </w:divBdr>
          <w:divsChild>
            <w:div w:id="1132989836">
              <w:marLeft w:val="0"/>
              <w:marRight w:val="0"/>
              <w:marTop w:val="0"/>
              <w:marBottom w:val="240"/>
              <w:divBdr>
                <w:top w:val="none" w:sz="0" w:space="0" w:color="auto"/>
                <w:left w:val="none" w:sz="0" w:space="0" w:color="auto"/>
                <w:bottom w:val="none" w:sz="0" w:space="0" w:color="auto"/>
                <w:right w:val="none" w:sz="0" w:space="0" w:color="auto"/>
              </w:divBdr>
            </w:div>
            <w:div w:id="782964980">
              <w:marLeft w:val="0"/>
              <w:marRight w:val="0"/>
              <w:marTop w:val="0"/>
              <w:marBottom w:val="240"/>
              <w:divBdr>
                <w:top w:val="none" w:sz="0" w:space="0" w:color="auto"/>
                <w:left w:val="none" w:sz="0" w:space="0" w:color="auto"/>
                <w:bottom w:val="none" w:sz="0" w:space="0" w:color="auto"/>
                <w:right w:val="none" w:sz="0" w:space="0" w:color="auto"/>
              </w:divBdr>
            </w:div>
            <w:div w:id="1713337194">
              <w:marLeft w:val="0"/>
              <w:marRight w:val="0"/>
              <w:marTop w:val="0"/>
              <w:marBottom w:val="240"/>
              <w:divBdr>
                <w:top w:val="none" w:sz="0" w:space="0" w:color="auto"/>
                <w:left w:val="none" w:sz="0" w:space="0" w:color="auto"/>
                <w:bottom w:val="none" w:sz="0" w:space="0" w:color="auto"/>
                <w:right w:val="none" w:sz="0" w:space="0" w:color="auto"/>
              </w:divBdr>
            </w:div>
            <w:div w:id="1149902382">
              <w:marLeft w:val="0"/>
              <w:marRight w:val="0"/>
              <w:marTop w:val="0"/>
              <w:marBottom w:val="240"/>
              <w:divBdr>
                <w:top w:val="none" w:sz="0" w:space="0" w:color="auto"/>
                <w:left w:val="none" w:sz="0" w:space="0" w:color="auto"/>
                <w:bottom w:val="none" w:sz="0" w:space="0" w:color="auto"/>
                <w:right w:val="none" w:sz="0" w:space="0" w:color="auto"/>
              </w:divBdr>
            </w:div>
            <w:div w:id="1793015241">
              <w:marLeft w:val="0"/>
              <w:marRight w:val="0"/>
              <w:marTop w:val="0"/>
              <w:marBottom w:val="240"/>
              <w:divBdr>
                <w:top w:val="none" w:sz="0" w:space="0" w:color="auto"/>
                <w:left w:val="none" w:sz="0" w:space="0" w:color="auto"/>
                <w:bottom w:val="none" w:sz="0" w:space="0" w:color="auto"/>
                <w:right w:val="none" w:sz="0" w:space="0" w:color="auto"/>
              </w:divBdr>
            </w:div>
            <w:div w:id="1481262621">
              <w:marLeft w:val="0"/>
              <w:marRight w:val="0"/>
              <w:marTop w:val="0"/>
              <w:marBottom w:val="240"/>
              <w:divBdr>
                <w:top w:val="none" w:sz="0" w:space="0" w:color="auto"/>
                <w:left w:val="none" w:sz="0" w:space="0" w:color="auto"/>
                <w:bottom w:val="none" w:sz="0" w:space="0" w:color="auto"/>
                <w:right w:val="none" w:sz="0" w:space="0" w:color="auto"/>
              </w:divBdr>
            </w:div>
            <w:div w:id="1535576263">
              <w:marLeft w:val="0"/>
              <w:marRight w:val="0"/>
              <w:marTop w:val="0"/>
              <w:marBottom w:val="240"/>
              <w:divBdr>
                <w:top w:val="none" w:sz="0" w:space="0" w:color="auto"/>
                <w:left w:val="none" w:sz="0" w:space="0" w:color="auto"/>
                <w:bottom w:val="none" w:sz="0" w:space="0" w:color="auto"/>
                <w:right w:val="none" w:sz="0" w:space="0" w:color="auto"/>
              </w:divBdr>
            </w:div>
            <w:div w:id="1126922813">
              <w:marLeft w:val="0"/>
              <w:marRight w:val="0"/>
              <w:marTop w:val="0"/>
              <w:marBottom w:val="240"/>
              <w:divBdr>
                <w:top w:val="none" w:sz="0" w:space="0" w:color="auto"/>
                <w:left w:val="none" w:sz="0" w:space="0" w:color="auto"/>
                <w:bottom w:val="none" w:sz="0" w:space="0" w:color="auto"/>
                <w:right w:val="none" w:sz="0" w:space="0" w:color="auto"/>
              </w:divBdr>
            </w:div>
            <w:div w:id="870339625">
              <w:marLeft w:val="0"/>
              <w:marRight w:val="0"/>
              <w:marTop w:val="0"/>
              <w:marBottom w:val="240"/>
              <w:divBdr>
                <w:top w:val="none" w:sz="0" w:space="0" w:color="auto"/>
                <w:left w:val="none" w:sz="0" w:space="0" w:color="auto"/>
                <w:bottom w:val="none" w:sz="0" w:space="0" w:color="auto"/>
                <w:right w:val="none" w:sz="0" w:space="0" w:color="auto"/>
              </w:divBdr>
            </w:div>
            <w:div w:id="919828680">
              <w:marLeft w:val="0"/>
              <w:marRight w:val="0"/>
              <w:marTop w:val="0"/>
              <w:marBottom w:val="240"/>
              <w:divBdr>
                <w:top w:val="none" w:sz="0" w:space="0" w:color="auto"/>
                <w:left w:val="none" w:sz="0" w:space="0" w:color="auto"/>
                <w:bottom w:val="none" w:sz="0" w:space="0" w:color="auto"/>
                <w:right w:val="none" w:sz="0" w:space="0" w:color="auto"/>
              </w:divBdr>
            </w:div>
            <w:div w:id="1291781662">
              <w:marLeft w:val="0"/>
              <w:marRight w:val="0"/>
              <w:marTop w:val="0"/>
              <w:marBottom w:val="240"/>
              <w:divBdr>
                <w:top w:val="none" w:sz="0" w:space="0" w:color="auto"/>
                <w:left w:val="none" w:sz="0" w:space="0" w:color="auto"/>
                <w:bottom w:val="none" w:sz="0" w:space="0" w:color="auto"/>
                <w:right w:val="none" w:sz="0" w:space="0" w:color="auto"/>
              </w:divBdr>
            </w:div>
            <w:div w:id="857430775">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44714787">
      <w:bodyDiv w:val="1"/>
      <w:marLeft w:val="0"/>
      <w:marRight w:val="0"/>
      <w:marTop w:val="0"/>
      <w:marBottom w:val="0"/>
      <w:divBdr>
        <w:top w:val="none" w:sz="0" w:space="0" w:color="auto"/>
        <w:left w:val="none" w:sz="0" w:space="0" w:color="auto"/>
        <w:bottom w:val="none" w:sz="0" w:space="0" w:color="auto"/>
        <w:right w:val="none" w:sz="0" w:space="0" w:color="auto"/>
      </w:divBdr>
      <w:divsChild>
        <w:div w:id="2049645568">
          <w:marLeft w:val="0"/>
          <w:marRight w:val="0"/>
          <w:marTop w:val="225"/>
          <w:marBottom w:val="0"/>
          <w:divBdr>
            <w:top w:val="none" w:sz="0" w:space="0" w:color="auto"/>
            <w:left w:val="none" w:sz="0" w:space="0" w:color="auto"/>
            <w:bottom w:val="none" w:sz="0" w:space="0" w:color="auto"/>
            <w:right w:val="none" w:sz="0" w:space="0" w:color="auto"/>
          </w:divBdr>
        </w:div>
      </w:divsChild>
    </w:div>
    <w:div w:id="1047071113">
      <w:bodyDiv w:val="1"/>
      <w:marLeft w:val="0"/>
      <w:marRight w:val="0"/>
      <w:marTop w:val="0"/>
      <w:marBottom w:val="0"/>
      <w:divBdr>
        <w:top w:val="none" w:sz="0" w:space="0" w:color="auto"/>
        <w:left w:val="none" w:sz="0" w:space="0" w:color="auto"/>
        <w:bottom w:val="none" w:sz="0" w:space="0" w:color="auto"/>
        <w:right w:val="none" w:sz="0" w:space="0" w:color="auto"/>
      </w:divBdr>
    </w:div>
    <w:div w:id="1052967225">
      <w:bodyDiv w:val="1"/>
      <w:marLeft w:val="0"/>
      <w:marRight w:val="0"/>
      <w:marTop w:val="0"/>
      <w:marBottom w:val="0"/>
      <w:divBdr>
        <w:top w:val="none" w:sz="0" w:space="0" w:color="auto"/>
        <w:left w:val="none" w:sz="0" w:space="0" w:color="auto"/>
        <w:bottom w:val="none" w:sz="0" w:space="0" w:color="auto"/>
        <w:right w:val="none" w:sz="0" w:space="0" w:color="auto"/>
      </w:divBdr>
    </w:div>
    <w:div w:id="1058284868">
      <w:bodyDiv w:val="1"/>
      <w:marLeft w:val="0"/>
      <w:marRight w:val="0"/>
      <w:marTop w:val="0"/>
      <w:marBottom w:val="0"/>
      <w:divBdr>
        <w:top w:val="none" w:sz="0" w:space="0" w:color="auto"/>
        <w:left w:val="none" w:sz="0" w:space="0" w:color="auto"/>
        <w:bottom w:val="none" w:sz="0" w:space="0" w:color="auto"/>
        <w:right w:val="none" w:sz="0" w:space="0" w:color="auto"/>
      </w:divBdr>
    </w:div>
    <w:div w:id="1078139059">
      <w:bodyDiv w:val="1"/>
      <w:marLeft w:val="0"/>
      <w:marRight w:val="0"/>
      <w:marTop w:val="0"/>
      <w:marBottom w:val="0"/>
      <w:divBdr>
        <w:top w:val="none" w:sz="0" w:space="0" w:color="auto"/>
        <w:left w:val="none" w:sz="0" w:space="0" w:color="auto"/>
        <w:bottom w:val="none" w:sz="0" w:space="0" w:color="auto"/>
        <w:right w:val="none" w:sz="0" w:space="0" w:color="auto"/>
      </w:divBdr>
    </w:div>
    <w:div w:id="1081176466">
      <w:bodyDiv w:val="1"/>
      <w:marLeft w:val="0"/>
      <w:marRight w:val="0"/>
      <w:marTop w:val="0"/>
      <w:marBottom w:val="0"/>
      <w:divBdr>
        <w:top w:val="none" w:sz="0" w:space="0" w:color="auto"/>
        <w:left w:val="none" w:sz="0" w:space="0" w:color="auto"/>
        <w:bottom w:val="none" w:sz="0" w:space="0" w:color="auto"/>
        <w:right w:val="none" w:sz="0" w:space="0" w:color="auto"/>
      </w:divBdr>
    </w:div>
    <w:div w:id="1146045497">
      <w:bodyDiv w:val="1"/>
      <w:marLeft w:val="0"/>
      <w:marRight w:val="0"/>
      <w:marTop w:val="0"/>
      <w:marBottom w:val="0"/>
      <w:divBdr>
        <w:top w:val="none" w:sz="0" w:space="0" w:color="auto"/>
        <w:left w:val="none" w:sz="0" w:space="0" w:color="auto"/>
        <w:bottom w:val="none" w:sz="0" w:space="0" w:color="auto"/>
        <w:right w:val="none" w:sz="0" w:space="0" w:color="auto"/>
      </w:divBdr>
    </w:div>
    <w:div w:id="1146363740">
      <w:bodyDiv w:val="1"/>
      <w:marLeft w:val="0"/>
      <w:marRight w:val="0"/>
      <w:marTop w:val="0"/>
      <w:marBottom w:val="0"/>
      <w:divBdr>
        <w:top w:val="none" w:sz="0" w:space="0" w:color="auto"/>
        <w:left w:val="none" w:sz="0" w:space="0" w:color="auto"/>
        <w:bottom w:val="none" w:sz="0" w:space="0" w:color="auto"/>
        <w:right w:val="none" w:sz="0" w:space="0" w:color="auto"/>
      </w:divBdr>
    </w:div>
    <w:div w:id="1162741915">
      <w:bodyDiv w:val="1"/>
      <w:marLeft w:val="0"/>
      <w:marRight w:val="0"/>
      <w:marTop w:val="0"/>
      <w:marBottom w:val="0"/>
      <w:divBdr>
        <w:top w:val="none" w:sz="0" w:space="0" w:color="auto"/>
        <w:left w:val="none" w:sz="0" w:space="0" w:color="auto"/>
        <w:bottom w:val="none" w:sz="0" w:space="0" w:color="auto"/>
        <w:right w:val="none" w:sz="0" w:space="0" w:color="auto"/>
      </w:divBdr>
      <w:divsChild>
        <w:div w:id="108159848">
          <w:marLeft w:val="0"/>
          <w:marRight w:val="0"/>
          <w:marTop w:val="0"/>
          <w:marBottom w:val="240"/>
          <w:divBdr>
            <w:top w:val="none" w:sz="0" w:space="0" w:color="auto"/>
            <w:left w:val="none" w:sz="0" w:space="0" w:color="auto"/>
            <w:bottom w:val="none" w:sz="0" w:space="0" w:color="auto"/>
            <w:right w:val="none" w:sz="0" w:space="0" w:color="auto"/>
          </w:divBdr>
          <w:divsChild>
            <w:div w:id="1618102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393718">
      <w:bodyDiv w:val="1"/>
      <w:marLeft w:val="0"/>
      <w:marRight w:val="0"/>
      <w:marTop w:val="0"/>
      <w:marBottom w:val="0"/>
      <w:divBdr>
        <w:top w:val="none" w:sz="0" w:space="0" w:color="auto"/>
        <w:left w:val="none" w:sz="0" w:space="0" w:color="auto"/>
        <w:bottom w:val="none" w:sz="0" w:space="0" w:color="auto"/>
        <w:right w:val="none" w:sz="0" w:space="0" w:color="auto"/>
      </w:divBdr>
      <w:divsChild>
        <w:div w:id="509562565">
          <w:marLeft w:val="0"/>
          <w:marRight w:val="0"/>
          <w:marTop w:val="0"/>
          <w:marBottom w:val="240"/>
          <w:divBdr>
            <w:top w:val="none" w:sz="0" w:space="0" w:color="auto"/>
            <w:left w:val="none" w:sz="0" w:space="0" w:color="auto"/>
            <w:bottom w:val="none" w:sz="0" w:space="0" w:color="auto"/>
            <w:right w:val="none" w:sz="0" w:space="0" w:color="auto"/>
          </w:divBdr>
        </w:div>
        <w:div w:id="2126578029">
          <w:marLeft w:val="0"/>
          <w:marRight w:val="0"/>
          <w:marTop w:val="0"/>
          <w:marBottom w:val="240"/>
          <w:divBdr>
            <w:top w:val="none" w:sz="0" w:space="0" w:color="auto"/>
            <w:left w:val="none" w:sz="0" w:space="0" w:color="auto"/>
            <w:bottom w:val="none" w:sz="0" w:space="0" w:color="auto"/>
            <w:right w:val="none" w:sz="0" w:space="0" w:color="auto"/>
          </w:divBdr>
        </w:div>
        <w:div w:id="828669439">
          <w:marLeft w:val="0"/>
          <w:marRight w:val="0"/>
          <w:marTop w:val="0"/>
          <w:marBottom w:val="240"/>
          <w:divBdr>
            <w:top w:val="none" w:sz="0" w:space="0" w:color="auto"/>
            <w:left w:val="none" w:sz="0" w:space="0" w:color="auto"/>
            <w:bottom w:val="none" w:sz="0" w:space="0" w:color="auto"/>
            <w:right w:val="none" w:sz="0" w:space="0" w:color="auto"/>
          </w:divBdr>
        </w:div>
      </w:divsChild>
    </w:div>
    <w:div w:id="1197694566">
      <w:bodyDiv w:val="1"/>
      <w:marLeft w:val="0"/>
      <w:marRight w:val="0"/>
      <w:marTop w:val="0"/>
      <w:marBottom w:val="0"/>
      <w:divBdr>
        <w:top w:val="none" w:sz="0" w:space="0" w:color="auto"/>
        <w:left w:val="none" w:sz="0" w:space="0" w:color="auto"/>
        <w:bottom w:val="none" w:sz="0" w:space="0" w:color="auto"/>
        <w:right w:val="none" w:sz="0" w:space="0" w:color="auto"/>
      </w:divBdr>
    </w:div>
    <w:div w:id="1197814198">
      <w:bodyDiv w:val="1"/>
      <w:marLeft w:val="0"/>
      <w:marRight w:val="0"/>
      <w:marTop w:val="0"/>
      <w:marBottom w:val="0"/>
      <w:divBdr>
        <w:top w:val="none" w:sz="0" w:space="0" w:color="auto"/>
        <w:left w:val="none" w:sz="0" w:space="0" w:color="auto"/>
        <w:bottom w:val="none" w:sz="0" w:space="0" w:color="auto"/>
        <w:right w:val="none" w:sz="0" w:space="0" w:color="auto"/>
      </w:divBdr>
      <w:divsChild>
        <w:div w:id="676427728">
          <w:marLeft w:val="0"/>
          <w:marRight w:val="0"/>
          <w:marTop w:val="0"/>
          <w:marBottom w:val="240"/>
          <w:divBdr>
            <w:top w:val="none" w:sz="0" w:space="0" w:color="auto"/>
            <w:left w:val="none" w:sz="0" w:space="0" w:color="auto"/>
            <w:bottom w:val="none" w:sz="0" w:space="0" w:color="auto"/>
            <w:right w:val="none" w:sz="0" w:space="0" w:color="auto"/>
          </w:divBdr>
        </w:div>
        <w:div w:id="560405029">
          <w:marLeft w:val="0"/>
          <w:marRight w:val="0"/>
          <w:marTop w:val="0"/>
          <w:marBottom w:val="240"/>
          <w:divBdr>
            <w:top w:val="none" w:sz="0" w:space="0" w:color="auto"/>
            <w:left w:val="none" w:sz="0" w:space="0" w:color="auto"/>
            <w:bottom w:val="none" w:sz="0" w:space="0" w:color="auto"/>
            <w:right w:val="none" w:sz="0" w:space="0" w:color="auto"/>
          </w:divBdr>
        </w:div>
        <w:div w:id="7417594">
          <w:marLeft w:val="0"/>
          <w:marRight w:val="0"/>
          <w:marTop w:val="0"/>
          <w:marBottom w:val="240"/>
          <w:divBdr>
            <w:top w:val="none" w:sz="0" w:space="0" w:color="auto"/>
            <w:left w:val="none" w:sz="0" w:space="0" w:color="auto"/>
            <w:bottom w:val="none" w:sz="0" w:space="0" w:color="auto"/>
            <w:right w:val="none" w:sz="0" w:space="0" w:color="auto"/>
          </w:divBdr>
        </w:div>
        <w:div w:id="1065488394">
          <w:marLeft w:val="0"/>
          <w:marRight w:val="0"/>
          <w:marTop w:val="0"/>
          <w:marBottom w:val="240"/>
          <w:divBdr>
            <w:top w:val="none" w:sz="0" w:space="0" w:color="auto"/>
            <w:left w:val="none" w:sz="0" w:space="0" w:color="auto"/>
            <w:bottom w:val="none" w:sz="0" w:space="0" w:color="auto"/>
            <w:right w:val="none" w:sz="0" w:space="0" w:color="auto"/>
          </w:divBdr>
        </w:div>
        <w:div w:id="1541893380">
          <w:marLeft w:val="0"/>
          <w:marRight w:val="0"/>
          <w:marTop w:val="0"/>
          <w:marBottom w:val="240"/>
          <w:divBdr>
            <w:top w:val="none" w:sz="0" w:space="0" w:color="auto"/>
            <w:left w:val="none" w:sz="0" w:space="0" w:color="auto"/>
            <w:bottom w:val="none" w:sz="0" w:space="0" w:color="auto"/>
            <w:right w:val="none" w:sz="0" w:space="0" w:color="auto"/>
          </w:divBdr>
        </w:div>
        <w:div w:id="1292132144">
          <w:marLeft w:val="0"/>
          <w:marRight w:val="0"/>
          <w:marTop w:val="0"/>
          <w:marBottom w:val="240"/>
          <w:divBdr>
            <w:top w:val="none" w:sz="0" w:space="0" w:color="auto"/>
            <w:left w:val="none" w:sz="0" w:space="0" w:color="auto"/>
            <w:bottom w:val="none" w:sz="0" w:space="0" w:color="auto"/>
            <w:right w:val="none" w:sz="0" w:space="0" w:color="auto"/>
          </w:divBdr>
        </w:div>
        <w:div w:id="1174370793">
          <w:marLeft w:val="0"/>
          <w:marRight w:val="0"/>
          <w:marTop w:val="0"/>
          <w:marBottom w:val="240"/>
          <w:divBdr>
            <w:top w:val="none" w:sz="0" w:space="0" w:color="auto"/>
            <w:left w:val="none" w:sz="0" w:space="0" w:color="auto"/>
            <w:bottom w:val="none" w:sz="0" w:space="0" w:color="auto"/>
            <w:right w:val="none" w:sz="0" w:space="0" w:color="auto"/>
          </w:divBdr>
        </w:div>
        <w:div w:id="465507902">
          <w:marLeft w:val="0"/>
          <w:marRight w:val="0"/>
          <w:marTop w:val="0"/>
          <w:marBottom w:val="240"/>
          <w:divBdr>
            <w:top w:val="none" w:sz="0" w:space="0" w:color="auto"/>
            <w:left w:val="none" w:sz="0" w:space="0" w:color="auto"/>
            <w:bottom w:val="none" w:sz="0" w:space="0" w:color="auto"/>
            <w:right w:val="none" w:sz="0" w:space="0" w:color="auto"/>
          </w:divBdr>
        </w:div>
      </w:divsChild>
    </w:div>
    <w:div w:id="1209534123">
      <w:bodyDiv w:val="1"/>
      <w:marLeft w:val="0"/>
      <w:marRight w:val="0"/>
      <w:marTop w:val="0"/>
      <w:marBottom w:val="0"/>
      <w:divBdr>
        <w:top w:val="none" w:sz="0" w:space="0" w:color="auto"/>
        <w:left w:val="none" w:sz="0" w:space="0" w:color="auto"/>
        <w:bottom w:val="none" w:sz="0" w:space="0" w:color="auto"/>
        <w:right w:val="none" w:sz="0" w:space="0" w:color="auto"/>
      </w:divBdr>
    </w:div>
    <w:div w:id="1219707433">
      <w:bodyDiv w:val="1"/>
      <w:marLeft w:val="0"/>
      <w:marRight w:val="0"/>
      <w:marTop w:val="0"/>
      <w:marBottom w:val="0"/>
      <w:divBdr>
        <w:top w:val="none" w:sz="0" w:space="0" w:color="auto"/>
        <w:left w:val="none" w:sz="0" w:space="0" w:color="auto"/>
        <w:bottom w:val="none" w:sz="0" w:space="0" w:color="auto"/>
        <w:right w:val="none" w:sz="0" w:space="0" w:color="auto"/>
      </w:divBdr>
    </w:div>
    <w:div w:id="1231620534">
      <w:bodyDiv w:val="1"/>
      <w:marLeft w:val="0"/>
      <w:marRight w:val="0"/>
      <w:marTop w:val="0"/>
      <w:marBottom w:val="0"/>
      <w:divBdr>
        <w:top w:val="none" w:sz="0" w:space="0" w:color="auto"/>
        <w:left w:val="none" w:sz="0" w:space="0" w:color="auto"/>
        <w:bottom w:val="none" w:sz="0" w:space="0" w:color="auto"/>
        <w:right w:val="none" w:sz="0" w:space="0" w:color="auto"/>
      </w:divBdr>
    </w:div>
    <w:div w:id="1247691971">
      <w:bodyDiv w:val="1"/>
      <w:marLeft w:val="0"/>
      <w:marRight w:val="0"/>
      <w:marTop w:val="0"/>
      <w:marBottom w:val="0"/>
      <w:divBdr>
        <w:top w:val="none" w:sz="0" w:space="0" w:color="auto"/>
        <w:left w:val="none" w:sz="0" w:space="0" w:color="auto"/>
        <w:bottom w:val="none" w:sz="0" w:space="0" w:color="auto"/>
        <w:right w:val="none" w:sz="0" w:space="0" w:color="auto"/>
      </w:divBdr>
      <w:divsChild>
        <w:div w:id="936406012">
          <w:marLeft w:val="0"/>
          <w:marRight w:val="0"/>
          <w:marTop w:val="0"/>
          <w:marBottom w:val="240"/>
          <w:divBdr>
            <w:top w:val="none" w:sz="0" w:space="0" w:color="auto"/>
            <w:left w:val="none" w:sz="0" w:space="0" w:color="auto"/>
            <w:bottom w:val="none" w:sz="0" w:space="0" w:color="auto"/>
            <w:right w:val="none" w:sz="0" w:space="0" w:color="auto"/>
          </w:divBdr>
          <w:divsChild>
            <w:div w:id="200219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403357">
      <w:bodyDiv w:val="1"/>
      <w:marLeft w:val="0"/>
      <w:marRight w:val="0"/>
      <w:marTop w:val="0"/>
      <w:marBottom w:val="0"/>
      <w:divBdr>
        <w:top w:val="none" w:sz="0" w:space="0" w:color="auto"/>
        <w:left w:val="none" w:sz="0" w:space="0" w:color="auto"/>
        <w:bottom w:val="none" w:sz="0" w:space="0" w:color="auto"/>
        <w:right w:val="none" w:sz="0" w:space="0" w:color="auto"/>
      </w:divBdr>
    </w:div>
    <w:div w:id="1410007358">
      <w:bodyDiv w:val="1"/>
      <w:marLeft w:val="0"/>
      <w:marRight w:val="0"/>
      <w:marTop w:val="0"/>
      <w:marBottom w:val="0"/>
      <w:divBdr>
        <w:top w:val="none" w:sz="0" w:space="0" w:color="auto"/>
        <w:left w:val="none" w:sz="0" w:space="0" w:color="auto"/>
        <w:bottom w:val="none" w:sz="0" w:space="0" w:color="auto"/>
        <w:right w:val="none" w:sz="0" w:space="0" w:color="auto"/>
      </w:divBdr>
      <w:divsChild>
        <w:div w:id="1906797384">
          <w:marLeft w:val="0"/>
          <w:marRight w:val="0"/>
          <w:marTop w:val="0"/>
          <w:marBottom w:val="120"/>
          <w:divBdr>
            <w:top w:val="none" w:sz="0" w:space="0" w:color="auto"/>
            <w:left w:val="none" w:sz="0" w:space="0" w:color="auto"/>
            <w:bottom w:val="none" w:sz="0" w:space="0" w:color="auto"/>
            <w:right w:val="none" w:sz="0" w:space="0" w:color="auto"/>
          </w:divBdr>
          <w:divsChild>
            <w:div w:id="815953197">
              <w:marLeft w:val="0"/>
              <w:marRight w:val="0"/>
              <w:marTop w:val="0"/>
              <w:marBottom w:val="0"/>
              <w:divBdr>
                <w:top w:val="none" w:sz="0" w:space="0" w:color="auto"/>
                <w:left w:val="none" w:sz="0" w:space="0" w:color="auto"/>
                <w:bottom w:val="none" w:sz="0" w:space="0" w:color="auto"/>
                <w:right w:val="none" w:sz="0" w:space="0" w:color="auto"/>
              </w:divBdr>
              <w:divsChild>
                <w:div w:id="1711302578">
                  <w:marLeft w:val="0"/>
                  <w:marRight w:val="0"/>
                  <w:marTop w:val="0"/>
                  <w:marBottom w:val="0"/>
                  <w:divBdr>
                    <w:top w:val="none" w:sz="0" w:space="0" w:color="auto"/>
                    <w:left w:val="none" w:sz="0" w:space="0" w:color="auto"/>
                    <w:bottom w:val="none" w:sz="0" w:space="0" w:color="auto"/>
                    <w:right w:val="none" w:sz="0" w:space="0" w:color="auto"/>
                  </w:divBdr>
                  <w:divsChild>
                    <w:div w:id="843201770">
                      <w:marLeft w:val="0"/>
                      <w:marRight w:val="0"/>
                      <w:marTop w:val="0"/>
                      <w:marBottom w:val="330"/>
                      <w:divBdr>
                        <w:top w:val="none" w:sz="0" w:space="0" w:color="auto"/>
                        <w:left w:val="none" w:sz="0" w:space="0" w:color="auto"/>
                        <w:bottom w:val="none" w:sz="0" w:space="0" w:color="auto"/>
                        <w:right w:val="none" w:sz="0" w:space="0" w:color="auto"/>
                      </w:divBdr>
                    </w:div>
                  </w:divsChild>
                </w:div>
              </w:divsChild>
            </w:div>
          </w:divsChild>
        </w:div>
      </w:divsChild>
    </w:div>
    <w:div w:id="1448432320">
      <w:bodyDiv w:val="1"/>
      <w:marLeft w:val="0"/>
      <w:marRight w:val="0"/>
      <w:marTop w:val="0"/>
      <w:marBottom w:val="0"/>
      <w:divBdr>
        <w:top w:val="none" w:sz="0" w:space="0" w:color="auto"/>
        <w:left w:val="none" w:sz="0" w:space="0" w:color="auto"/>
        <w:bottom w:val="none" w:sz="0" w:space="0" w:color="auto"/>
        <w:right w:val="none" w:sz="0" w:space="0" w:color="auto"/>
      </w:divBdr>
    </w:div>
    <w:div w:id="1466777979">
      <w:bodyDiv w:val="1"/>
      <w:marLeft w:val="0"/>
      <w:marRight w:val="0"/>
      <w:marTop w:val="0"/>
      <w:marBottom w:val="0"/>
      <w:divBdr>
        <w:top w:val="none" w:sz="0" w:space="0" w:color="auto"/>
        <w:left w:val="none" w:sz="0" w:space="0" w:color="auto"/>
        <w:bottom w:val="none" w:sz="0" w:space="0" w:color="auto"/>
        <w:right w:val="none" w:sz="0" w:space="0" w:color="auto"/>
      </w:divBdr>
    </w:div>
    <w:div w:id="1515457343">
      <w:bodyDiv w:val="1"/>
      <w:marLeft w:val="0"/>
      <w:marRight w:val="0"/>
      <w:marTop w:val="0"/>
      <w:marBottom w:val="0"/>
      <w:divBdr>
        <w:top w:val="none" w:sz="0" w:space="0" w:color="auto"/>
        <w:left w:val="none" w:sz="0" w:space="0" w:color="auto"/>
        <w:bottom w:val="none" w:sz="0" w:space="0" w:color="auto"/>
        <w:right w:val="none" w:sz="0" w:space="0" w:color="auto"/>
      </w:divBdr>
    </w:div>
    <w:div w:id="1557283040">
      <w:bodyDiv w:val="1"/>
      <w:marLeft w:val="0"/>
      <w:marRight w:val="0"/>
      <w:marTop w:val="0"/>
      <w:marBottom w:val="0"/>
      <w:divBdr>
        <w:top w:val="none" w:sz="0" w:space="0" w:color="auto"/>
        <w:left w:val="none" w:sz="0" w:space="0" w:color="auto"/>
        <w:bottom w:val="none" w:sz="0" w:space="0" w:color="auto"/>
        <w:right w:val="none" w:sz="0" w:space="0" w:color="auto"/>
      </w:divBdr>
    </w:div>
    <w:div w:id="1584530891">
      <w:bodyDiv w:val="1"/>
      <w:marLeft w:val="0"/>
      <w:marRight w:val="0"/>
      <w:marTop w:val="0"/>
      <w:marBottom w:val="0"/>
      <w:divBdr>
        <w:top w:val="none" w:sz="0" w:space="0" w:color="auto"/>
        <w:left w:val="none" w:sz="0" w:space="0" w:color="auto"/>
        <w:bottom w:val="none" w:sz="0" w:space="0" w:color="auto"/>
        <w:right w:val="none" w:sz="0" w:space="0" w:color="auto"/>
      </w:divBdr>
    </w:div>
    <w:div w:id="1622153269">
      <w:bodyDiv w:val="1"/>
      <w:marLeft w:val="0"/>
      <w:marRight w:val="0"/>
      <w:marTop w:val="0"/>
      <w:marBottom w:val="0"/>
      <w:divBdr>
        <w:top w:val="none" w:sz="0" w:space="0" w:color="auto"/>
        <w:left w:val="none" w:sz="0" w:space="0" w:color="auto"/>
        <w:bottom w:val="none" w:sz="0" w:space="0" w:color="auto"/>
        <w:right w:val="none" w:sz="0" w:space="0" w:color="auto"/>
      </w:divBdr>
    </w:div>
    <w:div w:id="1711681419">
      <w:bodyDiv w:val="1"/>
      <w:marLeft w:val="0"/>
      <w:marRight w:val="0"/>
      <w:marTop w:val="0"/>
      <w:marBottom w:val="0"/>
      <w:divBdr>
        <w:top w:val="none" w:sz="0" w:space="0" w:color="auto"/>
        <w:left w:val="none" w:sz="0" w:space="0" w:color="auto"/>
        <w:bottom w:val="none" w:sz="0" w:space="0" w:color="auto"/>
        <w:right w:val="none" w:sz="0" w:space="0" w:color="auto"/>
      </w:divBdr>
      <w:divsChild>
        <w:div w:id="998458442">
          <w:marLeft w:val="0"/>
          <w:marRight w:val="0"/>
          <w:marTop w:val="0"/>
          <w:marBottom w:val="240"/>
          <w:divBdr>
            <w:top w:val="none" w:sz="0" w:space="0" w:color="auto"/>
            <w:left w:val="none" w:sz="0" w:space="0" w:color="auto"/>
            <w:bottom w:val="none" w:sz="0" w:space="0" w:color="auto"/>
            <w:right w:val="none" w:sz="0" w:space="0" w:color="auto"/>
          </w:divBdr>
        </w:div>
        <w:div w:id="1649482603">
          <w:marLeft w:val="0"/>
          <w:marRight w:val="0"/>
          <w:marTop w:val="0"/>
          <w:marBottom w:val="240"/>
          <w:divBdr>
            <w:top w:val="none" w:sz="0" w:space="0" w:color="auto"/>
            <w:left w:val="none" w:sz="0" w:space="0" w:color="auto"/>
            <w:bottom w:val="none" w:sz="0" w:space="0" w:color="auto"/>
            <w:right w:val="none" w:sz="0" w:space="0" w:color="auto"/>
          </w:divBdr>
        </w:div>
        <w:div w:id="1604873115">
          <w:marLeft w:val="0"/>
          <w:marRight w:val="0"/>
          <w:marTop w:val="0"/>
          <w:marBottom w:val="240"/>
          <w:divBdr>
            <w:top w:val="none" w:sz="0" w:space="0" w:color="auto"/>
            <w:left w:val="none" w:sz="0" w:space="0" w:color="auto"/>
            <w:bottom w:val="none" w:sz="0" w:space="0" w:color="auto"/>
            <w:right w:val="none" w:sz="0" w:space="0" w:color="auto"/>
          </w:divBdr>
        </w:div>
        <w:div w:id="964315174">
          <w:marLeft w:val="0"/>
          <w:marRight w:val="0"/>
          <w:marTop w:val="0"/>
          <w:marBottom w:val="240"/>
          <w:divBdr>
            <w:top w:val="none" w:sz="0" w:space="0" w:color="auto"/>
            <w:left w:val="none" w:sz="0" w:space="0" w:color="auto"/>
            <w:bottom w:val="none" w:sz="0" w:space="0" w:color="auto"/>
            <w:right w:val="none" w:sz="0" w:space="0" w:color="auto"/>
          </w:divBdr>
        </w:div>
        <w:div w:id="157313754">
          <w:marLeft w:val="0"/>
          <w:marRight w:val="0"/>
          <w:marTop w:val="0"/>
          <w:marBottom w:val="240"/>
          <w:divBdr>
            <w:top w:val="none" w:sz="0" w:space="0" w:color="auto"/>
            <w:left w:val="none" w:sz="0" w:space="0" w:color="auto"/>
            <w:bottom w:val="none" w:sz="0" w:space="0" w:color="auto"/>
            <w:right w:val="none" w:sz="0" w:space="0" w:color="auto"/>
          </w:divBdr>
        </w:div>
        <w:div w:id="1719208081">
          <w:marLeft w:val="0"/>
          <w:marRight w:val="0"/>
          <w:marTop w:val="0"/>
          <w:marBottom w:val="240"/>
          <w:divBdr>
            <w:top w:val="none" w:sz="0" w:space="0" w:color="auto"/>
            <w:left w:val="none" w:sz="0" w:space="0" w:color="auto"/>
            <w:bottom w:val="none" w:sz="0" w:space="0" w:color="auto"/>
            <w:right w:val="none" w:sz="0" w:space="0" w:color="auto"/>
          </w:divBdr>
        </w:div>
        <w:div w:id="692269968">
          <w:marLeft w:val="0"/>
          <w:marRight w:val="0"/>
          <w:marTop w:val="0"/>
          <w:marBottom w:val="240"/>
          <w:divBdr>
            <w:top w:val="none" w:sz="0" w:space="0" w:color="auto"/>
            <w:left w:val="none" w:sz="0" w:space="0" w:color="auto"/>
            <w:bottom w:val="none" w:sz="0" w:space="0" w:color="auto"/>
            <w:right w:val="none" w:sz="0" w:space="0" w:color="auto"/>
          </w:divBdr>
        </w:div>
        <w:div w:id="1153333011">
          <w:marLeft w:val="0"/>
          <w:marRight w:val="0"/>
          <w:marTop w:val="0"/>
          <w:marBottom w:val="240"/>
          <w:divBdr>
            <w:top w:val="none" w:sz="0" w:space="0" w:color="auto"/>
            <w:left w:val="none" w:sz="0" w:space="0" w:color="auto"/>
            <w:bottom w:val="none" w:sz="0" w:space="0" w:color="auto"/>
            <w:right w:val="none" w:sz="0" w:space="0" w:color="auto"/>
          </w:divBdr>
        </w:div>
        <w:div w:id="777792581">
          <w:marLeft w:val="0"/>
          <w:marRight w:val="0"/>
          <w:marTop w:val="0"/>
          <w:marBottom w:val="240"/>
          <w:divBdr>
            <w:top w:val="none" w:sz="0" w:space="0" w:color="auto"/>
            <w:left w:val="none" w:sz="0" w:space="0" w:color="auto"/>
            <w:bottom w:val="none" w:sz="0" w:space="0" w:color="auto"/>
            <w:right w:val="none" w:sz="0" w:space="0" w:color="auto"/>
          </w:divBdr>
        </w:div>
      </w:divsChild>
    </w:div>
    <w:div w:id="1776057287">
      <w:bodyDiv w:val="1"/>
      <w:marLeft w:val="0"/>
      <w:marRight w:val="0"/>
      <w:marTop w:val="0"/>
      <w:marBottom w:val="0"/>
      <w:divBdr>
        <w:top w:val="none" w:sz="0" w:space="0" w:color="auto"/>
        <w:left w:val="none" w:sz="0" w:space="0" w:color="auto"/>
        <w:bottom w:val="none" w:sz="0" w:space="0" w:color="auto"/>
        <w:right w:val="none" w:sz="0" w:space="0" w:color="auto"/>
      </w:divBdr>
      <w:divsChild>
        <w:div w:id="1859082946">
          <w:marLeft w:val="0"/>
          <w:marRight w:val="0"/>
          <w:marTop w:val="0"/>
          <w:marBottom w:val="240"/>
          <w:divBdr>
            <w:top w:val="none" w:sz="0" w:space="0" w:color="auto"/>
            <w:left w:val="none" w:sz="0" w:space="0" w:color="auto"/>
            <w:bottom w:val="none" w:sz="0" w:space="0" w:color="auto"/>
            <w:right w:val="none" w:sz="0" w:space="0" w:color="auto"/>
          </w:divBdr>
          <w:divsChild>
            <w:div w:id="194939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371022">
      <w:bodyDiv w:val="1"/>
      <w:marLeft w:val="0"/>
      <w:marRight w:val="0"/>
      <w:marTop w:val="0"/>
      <w:marBottom w:val="0"/>
      <w:divBdr>
        <w:top w:val="none" w:sz="0" w:space="0" w:color="auto"/>
        <w:left w:val="none" w:sz="0" w:space="0" w:color="auto"/>
        <w:bottom w:val="none" w:sz="0" w:space="0" w:color="auto"/>
        <w:right w:val="none" w:sz="0" w:space="0" w:color="auto"/>
      </w:divBdr>
    </w:div>
    <w:div w:id="1804151302">
      <w:bodyDiv w:val="1"/>
      <w:marLeft w:val="0"/>
      <w:marRight w:val="0"/>
      <w:marTop w:val="0"/>
      <w:marBottom w:val="0"/>
      <w:divBdr>
        <w:top w:val="none" w:sz="0" w:space="0" w:color="auto"/>
        <w:left w:val="none" w:sz="0" w:space="0" w:color="auto"/>
        <w:bottom w:val="none" w:sz="0" w:space="0" w:color="auto"/>
        <w:right w:val="none" w:sz="0" w:space="0" w:color="auto"/>
      </w:divBdr>
    </w:div>
    <w:div w:id="1892301512">
      <w:bodyDiv w:val="1"/>
      <w:marLeft w:val="0"/>
      <w:marRight w:val="0"/>
      <w:marTop w:val="0"/>
      <w:marBottom w:val="0"/>
      <w:divBdr>
        <w:top w:val="none" w:sz="0" w:space="0" w:color="auto"/>
        <w:left w:val="none" w:sz="0" w:space="0" w:color="auto"/>
        <w:bottom w:val="none" w:sz="0" w:space="0" w:color="auto"/>
        <w:right w:val="none" w:sz="0" w:space="0" w:color="auto"/>
      </w:divBdr>
    </w:div>
    <w:div w:id="1929190920">
      <w:bodyDiv w:val="1"/>
      <w:marLeft w:val="0"/>
      <w:marRight w:val="0"/>
      <w:marTop w:val="0"/>
      <w:marBottom w:val="0"/>
      <w:divBdr>
        <w:top w:val="none" w:sz="0" w:space="0" w:color="auto"/>
        <w:left w:val="none" w:sz="0" w:space="0" w:color="auto"/>
        <w:bottom w:val="none" w:sz="0" w:space="0" w:color="auto"/>
        <w:right w:val="none" w:sz="0" w:space="0" w:color="auto"/>
      </w:divBdr>
      <w:divsChild>
        <w:div w:id="1126243726">
          <w:marLeft w:val="0"/>
          <w:marRight w:val="0"/>
          <w:marTop w:val="0"/>
          <w:marBottom w:val="120"/>
          <w:divBdr>
            <w:top w:val="none" w:sz="0" w:space="0" w:color="auto"/>
            <w:left w:val="none" w:sz="0" w:space="0" w:color="auto"/>
            <w:bottom w:val="none" w:sz="0" w:space="0" w:color="auto"/>
            <w:right w:val="none" w:sz="0" w:space="0" w:color="auto"/>
          </w:divBdr>
          <w:divsChild>
            <w:div w:id="2066443403">
              <w:marLeft w:val="0"/>
              <w:marRight w:val="0"/>
              <w:marTop w:val="0"/>
              <w:marBottom w:val="0"/>
              <w:divBdr>
                <w:top w:val="none" w:sz="0" w:space="0" w:color="auto"/>
                <w:left w:val="none" w:sz="0" w:space="0" w:color="auto"/>
                <w:bottom w:val="none" w:sz="0" w:space="0" w:color="auto"/>
                <w:right w:val="none" w:sz="0" w:space="0" w:color="auto"/>
              </w:divBdr>
              <w:divsChild>
                <w:div w:id="1039159088">
                  <w:marLeft w:val="0"/>
                  <w:marRight w:val="0"/>
                  <w:marTop w:val="0"/>
                  <w:marBottom w:val="0"/>
                  <w:divBdr>
                    <w:top w:val="none" w:sz="0" w:space="0" w:color="auto"/>
                    <w:left w:val="none" w:sz="0" w:space="0" w:color="auto"/>
                    <w:bottom w:val="none" w:sz="0" w:space="0" w:color="auto"/>
                    <w:right w:val="none" w:sz="0" w:space="0" w:color="auto"/>
                  </w:divBdr>
                  <w:divsChild>
                    <w:div w:id="198943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4391265">
      <w:bodyDiv w:val="1"/>
      <w:marLeft w:val="0"/>
      <w:marRight w:val="0"/>
      <w:marTop w:val="0"/>
      <w:marBottom w:val="0"/>
      <w:divBdr>
        <w:top w:val="none" w:sz="0" w:space="0" w:color="auto"/>
        <w:left w:val="none" w:sz="0" w:space="0" w:color="auto"/>
        <w:bottom w:val="none" w:sz="0" w:space="0" w:color="auto"/>
        <w:right w:val="none" w:sz="0" w:space="0" w:color="auto"/>
      </w:divBdr>
      <w:divsChild>
        <w:div w:id="1224101069">
          <w:marLeft w:val="0"/>
          <w:marRight w:val="0"/>
          <w:marTop w:val="0"/>
          <w:marBottom w:val="240"/>
          <w:divBdr>
            <w:top w:val="none" w:sz="0" w:space="0" w:color="auto"/>
            <w:left w:val="none" w:sz="0" w:space="0" w:color="auto"/>
            <w:bottom w:val="none" w:sz="0" w:space="0" w:color="auto"/>
            <w:right w:val="none" w:sz="0" w:space="0" w:color="auto"/>
          </w:divBdr>
          <w:divsChild>
            <w:div w:id="1534272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671476">
      <w:bodyDiv w:val="1"/>
      <w:marLeft w:val="0"/>
      <w:marRight w:val="0"/>
      <w:marTop w:val="0"/>
      <w:marBottom w:val="0"/>
      <w:divBdr>
        <w:top w:val="none" w:sz="0" w:space="0" w:color="auto"/>
        <w:left w:val="none" w:sz="0" w:space="0" w:color="auto"/>
        <w:bottom w:val="none" w:sz="0" w:space="0" w:color="auto"/>
        <w:right w:val="none" w:sz="0" w:space="0" w:color="auto"/>
      </w:divBdr>
      <w:divsChild>
        <w:div w:id="1761442192">
          <w:marLeft w:val="0"/>
          <w:marRight w:val="0"/>
          <w:marTop w:val="0"/>
          <w:marBottom w:val="240"/>
          <w:divBdr>
            <w:top w:val="none" w:sz="0" w:space="0" w:color="auto"/>
            <w:left w:val="none" w:sz="0" w:space="0" w:color="auto"/>
            <w:bottom w:val="none" w:sz="0" w:space="0" w:color="auto"/>
            <w:right w:val="none" w:sz="0" w:space="0" w:color="auto"/>
          </w:divBdr>
        </w:div>
        <w:div w:id="918371207">
          <w:marLeft w:val="0"/>
          <w:marRight w:val="0"/>
          <w:marTop w:val="0"/>
          <w:marBottom w:val="240"/>
          <w:divBdr>
            <w:top w:val="none" w:sz="0" w:space="0" w:color="auto"/>
            <w:left w:val="none" w:sz="0" w:space="0" w:color="auto"/>
            <w:bottom w:val="none" w:sz="0" w:space="0" w:color="auto"/>
            <w:right w:val="none" w:sz="0" w:space="0" w:color="auto"/>
          </w:divBdr>
        </w:div>
        <w:div w:id="1403605211">
          <w:marLeft w:val="0"/>
          <w:marRight w:val="0"/>
          <w:marTop w:val="0"/>
          <w:marBottom w:val="240"/>
          <w:divBdr>
            <w:top w:val="none" w:sz="0" w:space="0" w:color="auto"/>
            <w:left w:val="none" w:sz="0" w:space="0" w:color="auto"/>
            <w:bottom w:val="none" w:sz="0" w:space="0" w:color="auto"/>
            <w:right w:val="none" w:sz="0" w:space="0" w:color="auto"/>
          </w:divBdr>
        </w:div>
        <w:div w:id="1980111009">
          <w:marLeft w:val="0"/>
          <w:marRight w:val="0"/>
          <w:marTop w:val="0"/>
          <w:marBottom w:val="240"/>
          <w:divBdr>
            <w:top w:val="none" w:sz="0" w:space="0" w:color="auto"/>
            <w:left w:val="none" w:sz="0" w:space="0" w:color="auto"/>
            <w:bottom w:val="none" w:sz="0" w:space="0" w:color="auto"/>
            <w:right w:val="none" w:sz="0" w:space="0" w:color="auto"/>
          </w:divBdr>
        </w:div>
        <w:div w:id="1895651713">
          <w:marLeft w:val="0"/>
          <w:marRight w:val="0"/>
          <w:marTop w:val="0"/>
          <w:marBottom w:val="240"/>
          <w:divBdr>
            <w:top w:val="none" w:sz="0" w:space="0" w:color="auto"/>
            <w:left w:val="none" w:sz="0" w:space="0" w:color="auto"/>
            <w:bottom w:val="none" w:sz="0" w:space="0" w:color="auto"/>
            <w:right w:val="none" w:sz="0" w:space="0" w:color="auto"/>
          </w:divBdr>
        </w:div>
        <w:div w:id="1506048509">
          <w:marLeft w:val="0"/>
          <w:marRight w:val="0"/>
          <w:marTop w:val="0"/>
          <w:marBottom w:val="240"/>
          <w:divBdr>
            <w:top w:val="none" w:sz="0" w:space="0" w:color="auto"/>
            <w:left w:val="none" w:sz="0" w:space="0" w:color="auto"/>
            <w:bottom w:val="none" w:sz="0" w:space="0" w:color="auto"/>
            <w:right w:val="none" w:sz="0" w:space="0" w:color="auto"/>
          </w:divBdr>
        </w:div>
        <w:div w:id="109278605">
          <w:marLeft w:val="0"/>
          <w:marRight w:val="0"/>
          <w:marTop w:val="0"/>
          <w:marBottom w:val="240"/>
          <w:divBdr>
            <w:top w:val="none" w:sz="0" w:space="0" w:color="auto"/>
            <w:left w:val="none" w:sz="0" w:space="0" w:color="auto"/>
            <w:bottom w:val="none" w:sz="0" w:space="0" w:color="auto"/>
            <w:right w:val="none" w:sz="0" w:space="0" w:color="auto"/>
          </w:divBdr>
        </w:div>
        <w:div w:id="1188443829">
          <w:marLeft w:val="0"/>
          <w:marRight w:val="0"/>
          <w:marTop w:val="0"/>
          <w:marBottom w:val="240"/>
          <w:divBdr>
            <w:top w:val="none" w:sz="0" w:space="0" w:color="auto"/>
            <w:left w:val="none" w:sz="0" w:space="0" w:color="auto"/>
            <w:bottom w:val="none" w:sz="0" w:space="0" w:color="auto"/>
            <w:right w:val="none" w:sz="0" w:space="0" w:color="auto"/>
          </w:divBdr>
        </w:div>
        <w:div w:id="1486900426">
          <w:marLeft w:val="0"/>
          <w:marRight w:val="0"/>
          <w:marTop w:val="0"/>
          <w:marBottom w:val="240"/>
          <w:divBdr>
            <w:top w:val="none" w:sz="0" w:space="0" w:color="auto"/>
            <w:left w:val="none" w:sz="0" w:space="0" w:color="auto"/>
            <w:bottom w:val="none" w:sz="0" w:space="0" w:color="auto"/>
            <w:right w:val="none" w:sz="0" w:space="0" w:color="auto"/>
          </w:divBdr>
        </w:div>
      </w:divsChild>
    </w:div>
    <w:div w:id="1949848403">
      <w:bodyDiv w:val="1"/>
      <w:marLeft w:val="0"/>
      <w:marRight w:val="0"/>
      <w:marTop w:val="0"/>
      <w:marBottom w:val="0"/>
      <w:divBdr>
        <w:top w:val="none" w:sz="0" w:space="0" w:color="auto"/>
        <w:left w:val="none" w:sz="0" w:space="0" w:color="auto"/>
        <w:bottom w:val="none" w:sz="0" w:space="0" w:color="auto"/>
        <w:right w:val="none" w:sz="0" w:space="0" w:color="auto"/>
      </w:divBdr>
    </w:div>
    <w:div w:id="1980645349">
      <w:bodyDiv w:val="1"/>
      <w:marLeft w:val="0"/>
      <w:marRight w:val="0"/>
      <w:marTop w:val="0"/>
      <w:marBottom w:val="0"/>
      <w:divBdr>
        <w:top w:val="none" w:sz="0" w:space="0" w:color="auto"/>
        <w:left w:val="none" w:sz="0" w:space="0" w:color="auto"/>
        <w:bottom w:val="none" w:sz="0" w:space="0" w:color="auto"/>
        <w:right w:val="none" w:sz="0" w:space="0" w:color="auto"/>
      </w:divBdr>
      <w:divsChild>
        <w:div w:id="258221122">
          <w:marLeft w:val="0"/>
          <w:marRight w:val="0"/>
          <w:marTop w:val="0"/>
          <w:marBottom w:val="0"/>
          <w:divBdr>
            <w:top w:val="none" w:sz="0" w:space="0" w:color="auto"/>
            <w:left w:val="none" w:sz="0" w:space="0" w:color="auto"/>
            <w:bottom w:val="none" w:sz="0" w:space="0" w:color="auto"/>
            <w:right w:val="none" w:sz="0" w:space="0" w:color="auto"/>
          </w:divBdr>
        </w:div>
        <w:div w:id="92091894">
          <w:marLeft w:val="0"/>
          <w:marRight w:val="0"/>
          <w:marTop w:val="0"/>
          <w:marBottom w:val="0"/>
          <w:divBdr>
            <w:top w:val="none" w:sz="0" w:space="0" w:color="auto"/>
            <w:left w:val="none" w:sz="0" w:space="0" w:color="auto"/>
            <w:bottom w:val="none" w:sz="0" w:space="0" w:color="auto"/>
            <w:right w:val="none" w:sz="0" w:space="0" w:color="auto"/>
          </w:divBdr>
        </w:div>
        <w:div w:id="1130782056">
          <w:marLeft w:val="0"/>
          <w:marRight w:val="0"/>
          <w:marTop w:val="0"/>
          <w:marBottom w:val="0"/>
          <w:divBdr>
            <w:top w:val="none" w:sz="0" w:space="0" w:color="auto"/>
            <w:left w:val="none" w:sz="0" w:space="0" w:color="auto"/>
            <w:bottom w:val="none" w:sz="0" w:space="0" w:color="auto"/>
            <w:right w:val="none" w:sz="0" w:space="0" w:color="auto"/>
          </w:divBdr>
        </w:div>
      </w:divsChild>
    </w:div>
    <w:div w:id="1982881887">
      <w:bodyDiv w:val="1"/>
      <w:marLeft w:val="0"/>
      <w:marRight w:val="0"/>
      <w:marTop w:val="0"/>
      <w:marBottom w:val="0"/>
      <w:divBdr>
        <w:top w:val="none" w:sz="0" w:space="0" w:color="auto"/>
        <w:left w:val="none" w:sz="0" w:space="0" w:color="auto"/>
        <w:bottom w:val="none" w:sz="0" w:space="0" w:color="auto"/>
        <w:right w:val="none" w:sz="0" w:space="0" w:color="auto"/>
      </w:divBdr>
    </w:div>
    <w:div w:id="1995260906">
      <w:bodyDiv w:val="1"/>
      <w:marLeft w:val="0"/>
      <w:marRight w:val="0"/>
      <w:marTop w:val="0"/>
      <w:marBottom w:val="0"/>
      <w:divBdr>
        <w:top w:val="none" w:sz="0" w:space="0" w:color="auto"/>
        <w:left w:val="none" w:sz="0" w:space="0" w:color="auto"/>
        <w:bottom w:val="none" w:sz="0" w:space="0" w:color="auto"/>
        <w:right w:val="none" w:sz="0" w:space="0" w:color="auto"/>
      </w:divBdr>
    </w:div>
    <w:div w:id="2047438501">
      <w:bodyDiv w:val="1"/>
      <w:marLeft w:val="0"/>
      <w:marRight w:val="0"/>
      <w:marTop w:val="0"/>
      <w:marBottom w:val="0"/>
      <w:divBdr>
        <w:top w:val="none" w:sz="0" w:space="0" w:color="auto"/>
        <w:left w:val="none" w:sz="0" w:space="0" w:color="auto"/>
        <w:bottom w:val="none" w:sz="0" w:space="0" w:color="auto"/>
        <w:right w:val="none" w:sz="0" w:space="0" w:color="auto"/>
      </w:divBdr>
      <w:divsChild>
        <w:div w:id="1860122361">
          <w:marLeft w:val="0"/>
          <w:marRight w:val="0"/>
          <w:marTop w:val="0"/>
          <w:marBottom w:val="240"/>
          <w:divBdr>
            <w:top w:val="none" w:sz="0" w:space="0" w:color="auto"/>
            <w:left w:val="none" w:sz="0" w:space="0" w:color="auto"/>
            <w:bottom w:val="none" w:sz="0" w:space="0" w:color="auto"/>
            <w:right w:val="none" w:sz="0" w:space="0" w:color="auto"/>
          </w:divBdr>
        </w:div>
        <w:div w:id="183593837">
          <w:marLeft w:val="0"/>
          <w:marRight w:val="0"/>
          <w:marTop w:val="0"/>
          <w:marBottom w:val="240"/>
          <w:divBdr>
            <w:top w:val="none" w:sz="0" w:space="0" w:color="auto"/>
            <w:left w:val="none" w:sz="0" w:space="0" w:color="auto"/>
            <w:bottom w:val="none" w:sz="0" w:space="0" w:color="auto"/>
            <w:right w:val="none" w:sz="0" w:space="0" w:color="auto"/>
          </w:divBdr>
        </w:div>
        <w:div w:id="1281956451">
          <w:marLeft w:val="0"/>
          <w:marRight w:val="0"/>
          <w:marTop w:val="0"/>
          <w:marBottom w:val="240"/>
          <w:divBdr>
            <w:top w:val="none" w:sz="0" w:space="0" w:color="auto"/>
            <w:left w:val="none" w:sz="0" w:space="0" w:color="auto"/>
            <w:bottom w:val="none" w:sz="0" w:space="0" w:color="auto"/>
            <w:right w:val="none" w:sz="0" w:space="0" w:color="auto"/>
          </w:divBdr>
        </w:div>
        <w:div w:id="1628974023">
          <w:marLeft w:val="0"/>
          <w:marRight w:val="0"/>
          <w:marTop w:val="0"/>
          <w:marBottom w:val="240"/>
          <w:divBdr>
            <w:top w:val="none" w:sz="0" w:space="0" w:color="auto"/>
            <w:left w:val="none" w:sz="0" w:space="0" w:color="auto"/>
            <w:bottom w:val="none" w:sz="0" w:space="0" w:color="auto"/>
            <w:right w:val="none" w:sz="0" w:space="0" w:color="auto"/>
          </w:divBdr>
        </w:div>
      </w:divsChild>
    </w:div>
    <w:div w:id="2076849372">
      <w:bodyDiv w:val="1"/>
      <w:marLeft w:val="0"/>
      <w:marRight w:val="0"/>
      <w:marTop w:val="0"/>
      <w:marBottom w:val="0"/>
      <w:divBdr>
        <w:top w:val="none" w:sz="0" w:space="0" w:color="auto"/>
        <w:left w:val="none" w:sz="0" w:space="0" w:color="auto"/>
        <w:bottom w:val="none" w:sz="0" w:space="0" w:color="auto"/>
        <w:right w:val="none" w:sz="0" w:space="0" w:color="auto"/>
      </w:divBdr>
      <w:divsChild>
        <w:div w:id="1376467838">
          <w:marLeft w:val="0"/>
          <w:marRight w:val="0"/>
          <w:marTop w:val="0"/>
          <w:marBottom w:val="240"/>
          <w:divBdr>
            <w:top w:val="none" w:sz="0" w:space="0" w:color="auto"/>
            <w:left w:val="none" w:sz="0" w:space="0" w:color="auto"/>
            <w:bottom w:val="none" w:sz="0" w:space="0" w:color="auto"/>
            <w:right w:val="none" w:sz="0" w:space="0" w:color="auto"/>
          </w:divBdr>
          <w:divsChild>
            <w:div w:id="780492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549166">
      <w:bodyDiv w:val="1"/>
      <w:marLeft w:val="0"/>
      <w:marRight w:val="0"/>
      <w:marTop w:val="0"/>
      <w:marBottom w:val="0"/>
      <w:divBdr>
        <w:top w:val="none" w:sz="0" w:space="0" w:color="auto"/>
        <w:left w:val="none" w:sz="0" w:space="0" w:color="auto"/>
        <w:bottom w:val="none" w:sz="0" w:space="0" w:color="auto"/>
        <w:right w:val="none" w:sz="0" w:space="0" w:color="auto"/>
      </w:divBdr>
      <w:divsChild>
        <w:div w:id="1724019947">
          <w:marLeft w:val="0"/>
          <w:marRight w:val="0"/>
          <w:marTop w:val="0"/>
          <w:marBottom w:val="240"/>
          <w:divBdr>
            <w:top w:val="none" w:sz="0" w:space="0" w:color="auto"/>
            <w:left w:val="none" w:sz="0" w:space="0" w:color="auto"/>
            <w:bottom w:val="none" w:sz="0" w:space="0" w:color="auto"/>
            <w:right w:val="none" w:sz="0" w:space="0" w:color="auto"/>
          </w:divBdr>
          <w:divsChild>
            <w:div w:id="125049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442376">
      <w:bodyDiv w:val="1"/>
      <w:marLeft w:val="0"/>
      <w:marRight w:val="0"/>
      <w:marTop w:val="0"/>
      <w:marBottom w:val="0"/>
      <w:divBdr>
        <w:top w:val="none" w:sz="0" w:space="0" w:color="auto"/>
        <w:left w:val="none" w:sz="0" w:space="0" w:color="auto"/>
        <w:bottom w:val="none" w:sz="0" w:space="0" w:color="auto"/>
        <w:right w:val="none" w:sz="0" w:space="0" w:color="auto"/>
      </w:divBdr>
    </w:div>
    <w:div w:id="2146194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jneuroinflammation.biomedcentral.com/articles/10.1186/s12974-016-0556-0" TargetMode="External"/><Relationship Id="rId299" Type="http://schemas.openxmlformats.org/officeDocument/2006/relationships/hyperlink" Target="https://linkinghub.elsevier.com/retrieve/pii/S0896-6273(21)00834-5" TargetMode="External"/><Relationship Id="rId21" Type="http://schemas.openxmlformats.org/officeDocument/2006/relationships/hyperlink" Target="https://www.nature.com/articles/s41467-018-04049-3" TargetMode="External"/><Relationship Id="rId63" Type="http://schemas.openxmlformats.org/officeDocument/2006/relationships/hyperlink" Target="https://thejournalofheadacheandpain.biomedcentral.com/articles/10.1186/s10194-017-0726-1" TargetMode="External"/><Relationship Id="rId159" Type="http://schemas.openxmlformats.org/officeDocument/2006/relationships/hyperlink" Target="https://www.sciencedirect.com/topics/biochemistry-genetics-and-molecular-biology/galanin" TargetMode="External"/><Relationship Id="rId170" Type="http://schemas.openxmlformats.org/officeDocument/2006/relationships/hyperlink" Target="https://pmc.ncbi.nlm.nih.gov/articles/PMC4772157/" TargetMode="External"/><Relationship Id="rId226" Type="http://schemas.openxmlformats.org/officeDocument/2006/relationships/hyperlink" Target="https://pmc.ncbi.nlm.nih.gov/articles/PMC4752254/" TargetMode="External"/><Relationship Id="rId268" Type="http://schemas.openxmlformats.org/officeDocument/2006/relationships/hyperlink" Target="https://www.sciencedirect.com/topics/medicine-and-dentistry/poly-methyl-methacrylate" TargetMode="External"/><Relationship Id="rId32" Type="http://schemas.openxmlformats.org/officeDocument/2006/relationships/image" Target="media/image7.png"/><Relationship Id="rId74" Type="http://schemas.openxmlformats.org/officeDocument/2006/relationships/image" Target="media/image20.png"/><Relationship Id="rId128" Type="http://schemas.openxmlformats.org/officeDocument/2006/relationships/hyperlink" Target="https://link.springer.com/article/10.1007/s12035-016-9870-x" TargetMode="External"/><Relationship Id="rId5" Type="http://schemas.openxmlformats.org/officeDocument/2006/relationships/webSettings" Target="webSettings.xml"/><Relationship Id="rId181" Type="http://schemas.openxmlformats.org/officeDocument/2006/relationships/image" Target="media/image47.png"/><Relationship Id="rId237" Type="http://schemas.openxmlformats.org/officeDocument/2006/relationships/image" Target="media/image56.png"/><Relationship Id="rId279" Type="http://schemas.openxmlformats.org/officeDocument/2006/relationships/hyperlink" Target="https://pmc.ncbi.nlm.nih.gov/articles/PMC4529068/" TargetMode="External"/><Relationship Id="rId43" Type="http://schemas.openxmlformats.org/officeDocument/2006/relationships/hyperlink" Target="https://pmc.ncbi.nlm.nih.gov/articles/PMC6077887/" TargetMode="External"/><Relationship Id="rId139" Type="http://schemas.openxmlformats.org/officeDocument/2006/relationships/hyperlink" Target="https://www.sciencedirect.com/topics/neuroscience/spinal-trigeminal-nucleus" TargetMode="External"/><Relationship Id="rId290" Type="http://schemas.openxmlformats.org/officeDocument/2006/relationships/hyperlink" Target="https://pmc.ncbi.nlm.nih.gov/articles/PMC4529068/" TargetMode="External"/><Relationship Id="rId304" Type="http://schemas.openxmlformats.org/officeDocument/2006/relationships/hyperlink" Target="https://www.jneurosci.org/content/26/4/1281" TargetMode="External"/><Relationship Id="rId85" Type="http://schemas.openxmlformats.org/officeDocument/2006/relationships/image" Target="media/image23.png"/><Relationship Id="rId150" Type="http://schemas.openxmlformats.org/officeDocument/2006/relationships/image" Target="media/image40.png"/><Relationship Id="rId192" Type="http://schemas.openxmlformats.org/officeDocument/2006/relationships/hyperlink" Target="https://www.jci.org/articles/view/81950" TargetMode="External"/><Relationship Id="rId206" Type="http://schemas.openxmlformats.org/officeDocument/2006/relationships/hyperlink" Target="https://www.nature.com/articles/srep42260" TargetMode="External"/><Relationship Id="rId248" Type="http://schemas.openxmlformats.org/officeDocument/2006/relationships/image" Target="media/image61.png"/><Relationship Id="rId12" Type="http://schemas.openxmlformats.org/officeDocument/2006/relationships/hyperlink" Target="https://www.nature.com/articles/s41467-018-04049-3" TargetMode="External"/><Relationship Id="rId108" Type="http://schemas.openxmlformats.org/officeDocument/2006/relationships/hyperlink" Target="https://www.nature.com/articles/s41598-018-31962-w" TargetMode="External"/><Relationship Id="rId315" Type="http://schemas.openxmlformats.org/officeDocument/2006/relationships/hyperlink" Target="https://www.jneurosci.org/content/26/4/1281" TargetMode="External"/><Relationship Id="rId54" Type="http://schemas.openxmlformats.org/officeDocument/2006/relationships/hyperlink" Target="https://arthritis-research.biomedcentral.com/articles/10.1186/s13075-016-1025-y" TargetMode="External"/><Relationship Id="rId96" Type="http://schemas.openxmlformats.org/officeDocument/2006/relationships/image" Target="media/image25.png"/><Relationship Id="rId161" Type="http://schemas.openxmlformats.org/officeDocument/2006/relationships/hyperlink" Target="https://www.sciencedirect.com/science/article/pii/S0092867414014342" TargetMode="External"/><Relationship Id="rId217" Type="http://schemas.openxmlformats.org/officeDocument/2006/relationships/hyperlink" Target="https://www.jci.org/articles/view/72230" TargetMode="External"/><Relationship Id="rId259" Type="http://schemas.openxmlformats.org/officeDocument/2006/relationships/hyperlink" Target="https://link.springer.com/article/10.1007/s10103-014-1552-1" TargetMode="External"/><Relationship Id="rId23" Type="http://schemas.openxmlformats.org/officeDocument/2006/relationships/hyperlink" Target="https://www.nature.com/articles/s41586-018-0515-2" TargetMode="External"/><Relationship Id="rId119" Type="http://schemas.openxmlformats.org/officeDocument/2006/relationships/hyperlink" Target="https://jneuroinflammation.biomedcentral.com/articles/10.1186/s12974-016-0556-0" TargetMode="External"/><Relationship Id="rId270" Type="http://schemas.openxmlformats.org/officeDocument/2006/relationships/hyperlink" Target="https://www.sciencedirect.com/science/article/pii/S0028390817305658" TargetMode="External"/><Relationship Id="rId65" Type="http://schemas.openxmlformats.org/officeDocument/2006/relationships/hyperlink" Target="https://thejournalofheadacheandpain.biomedcentral.com/articles/10.1186/s10194-017-0726-1" TargetMode="External"/><Relationship Id="rId130" Type="http://schemas.openxmlformats.org/officeDocument/2006/relationships/hyperlink" Target="https://link.springer.com/article/10.1007/s12035-016-9870-x" TargetMode="External"/><Relationship Id="rId172" Type="http://schemas.openxmlformats.org/officeDocument/2006/relationships/hyperlink" Target="https://pmc.ncbi.nlm.nih.gov/articles/PMC4772157/" TargetMode="External"/><Relationship Id="rId228" Type="http://schemas.openxmlformats.org/officeDocument/2006/relationships/hyperlink" Target="https://pmc.ncbi.nlm.nih.gov/articles/PMC4752254/" TargetMode="External"/><Relationship Id="rId13" Type="http://schemas.openxmlformats.org/officeDocument/2006/relationships/hyperlink" Target="https://www.nature.com/articles/s41467-018-04049-3" TargetMode="External"/><Relationship Id="rId109" Type="http://schemas.openxmlformats.org/officeDocument/2006/relationships/hyperlink" Target="https://www.nature.com/articles/s41598-018-31962-w" TargetMode="External"/><Relationship Id="rId260" Type="http://schemas.openxmlformats.org/officeDocument/2006/relationships/hyperlink" Target="https://link.springer.com/article/10.1007/s10103-014-1552-1" TargetMode="External"/><Relationship Id="rId281" Type="http://schemas.openxmlformats.org/officeDocument/2006/relationships/hyperlink" Target="https://pmc.ncbi.nlm.nih.gov/articles/PMC4529068/" TargetMode="External"/><Relationship Id="rId316" Type="http://schemas.openxmlformats.org/officeDocument/2006/relationships/hyperlink" Target="https://www.jneurosci.org/content/26/4/1281" TargetMode="External"/><Relationship Id="rId34" Type="http://schemas.openxmlformats.org/officeDocument/2006/relationships/hyperlink" Target="https://www.nature.com/articles/s41598-017-12744-2" TargetMode="External"/><Relationship Id="rId55" Type="http://schemas.openxmlformats.org/officeDocument/2006/relationships/image" Target="media/image14.png"/><Relationship Id="rId76" Type="http://schemas.openxmlformats.org/officeDocument/2006/relationships/hyperlink" Target="https://www.nature.com/articles/srep05676" TargetMode="External"/><Relationship Id="rId97" Type="http://schemas.openxmlformats.org/officeDocument/2006/relationships/image" Target="media/image26.png"/><Relationship Id="rId120" Type="http://schemas.openxmlformats.org/officeDocument/2006/relationships/hyperlink" Target="https://jneuroinflammation.biomedcentral.com/articles/10.1186/s12974-016-0556-0" TargetMode="External"/><Relationship Id="rId141" Type="http://schemas.openxmlformats.org/officeDocument/2006/relationships/hyperlink" Target="https://www.sciencedirect.com/topics/neuroscience/hippocampus" TargetMode="External"/><Relationship Id="rId7" Type="http://schemas.openxmlformats.org/officeDocument/2006/relationships/endnotes" Target="endnotes.xml"/><Relationship Id="rId162" Type="http://schemas.openxmlformats.org/officeDocument/2006/relationships/hyperlink" Target="https://www.sciencedirect.com/topics/neuroscience/behavior-neuroscience" TargetMode="External"/><Relationship Id="rId183" Type="http://schemas.openxmlformats.org/officeDocument/2006/relationships/hyperlink" Target="https://pmc.ncbi.nlm.nih.gov/articles/PMC4125188/" TargetMode="External"/><Relationship Id="rId218" Type="http://schemas.openxmlformats.org/officeDocument/2006/relationships/image" Target="media/image50.png"/><Relationship Id="rId239" Type="http://schemas.openxmlformats.org/officeDocument/2006/relationships/hyperlink" Target="https://www.jci.org/articles/view/80883" TargetMode="External"/><Relationship Id="rId250" Type="http://schemas.openxmlformats.org/officeDocument/2006/relationships/hyperlink" Target="https://jneuroinflammation.biomedcentral.com/articles/10.1186/s12974-017-1045-9" TargetMode="External"/><Relationship Id="rId271" Type="http://schemas.openxmlformats.org/officeDocument/2006/relationships/hyperlink" Target="https://pmc.ncbi.nlm.nih.gov/articles/PMC4956005/" TargetMode="External"/><Relationship Id="rId292" Type="http://schemas.openxmlformats.org/officeDocument/2006/relationships/hyperlink" Target="https://pmc.ncbi.nlm.nih.gov/articles/PMC4529068/" TargetMode="External"/><Relationship Id="rId306" Type="http://schemas.openxmlformats.org/officeDocument/2006/relationships/hyperlink" Target="https://www.jneurosci.org/content/26/4/1281" TargetMode="External"/><Relationship Id="rId24" Type="http://schemas.openxmlformats.org/officeDocument/2006/relationships/image" Target="media/image4.png"/><Relationship Id="rId45" Type="http://schemas.openxmlformats.org/officeDocument/2006/relationships/hyperlink" Target="https://pmc.ncbi.nlm.nih.gov/articles/PMC6077887/" TargetMode="External"/><Relationship Id="rId66" Type="http://schemas.openxmlformats.org/officeDocument/2006/relationships/hyperlink" Target="https://thejournalofheadacheandpain.biomedcentral.com/articles/10.1186/s10194-017-0726-1" TargetMode="External"/><Relationship Id="rId87" Type="http://schemas.openxmlformats.org/officeDocument/2006/relationships/hyperlink" Target="https://thejournalofheadacheandpain.biomedcentral.com/articles/10.1186/s10194-018-0879-6" TargetMode="External"/><Relationship Id="rId110" Type="http://schemas.openxmlformats.org/officeDocument/2006/relationships/hyperlink" Target="https://www.nature.com/articles/s41598-018-31962-w" TargetMode="External"/><Relationship Id="rId131" Type="http://schemas.openxmlformats.org/officeDocument/2006/relationships/hyperlink" Target="https://link.springer.com/article/10.1007/s12035-016-9870-x" TargetMode="External"/><Relationship Id="rId152" Type="http://schemas.openxmlformats.org/officeDocument/2006/relationships/image" Target="media/image41.png"/><Relationship Id="rId173" Type="http://schemas.openxmlformats.org/officeDocument/2006/relationships/hyperlink" Target="https://pmc.ncbi.nlm.nih.gov/articles/PMC4772157/" TargetMode="External"/><Relationship Id="rId194" Type="http://schemas.openxmlformats.org/officeDocument/2006/relationships/hyperlink" Target="https://www.jci.org/articles/view/81950" TargetMode="External"/><Relationship Id="rId208" Type="http://schemas.openxmlformats.org/officeDocument/2006/relationships/hyperlink" Target="https://www.nature.com/articles/srep42260" TargetMode="External"/><Relationship Id="rId229" Type="http://schemas.openxmlformats.org/officeDocument/2006/relationships/hyperlink" Target="https://pmc.ncbi.nlm.nih.gov/articles/PMC4752254/" TargetMode="External"/><Relationship Id="rId240" Type="http://schemas.openxmlformats.org/officeDocument/2006/relationships/hyperlink" Target="https://pmc.ncbi.nlm.nih.gov/articles/PMC4770326/" TargetMode="External"/><Relationship Id="rId261" Type="http://schemas.openxmlformats.org/officeDocument/2006/relationships/hyperlink" Target="https://www.sciencedirect.com/science/article/pii/S0028390817305658" TargetMode="External"/><Relationship Id="rId14" Type="http://schemas.openxmlformats.org/officeDocument/2006/relationships/hyperlink" Target="https://www.nature.com/articles/s41467-018-04049-3" TargetMode="External"/><Relationship Id="rId35" Type="http://schemas.openxmlformats.org/officeDocument/2006/relationships/hyperlink" Target="https://www.nature.com/articles/s41598-017-12744-2" TargetMode="External"/><Relationship Id="rId56" Type="http://schemas.openxmlformats.org/officeDocument/2006/relationships/hyperlink" Target="https://arthritis-research.biomedcentral.com/articles/10.1186/s13075-016-1025-y" TargetMode="External"/><Relationship Id="rId77" Type="http://schemas.openxmlformats.org/officeDocument/2006/relationships/hyperlink" Target="https://www.nature.com/articles/srep05676" TargetMode="External"/><Relationship Id="rId100" Type="http://schemas.openxmlformats.org/officeDocument/2006/relationships/image" Target="media/image28.png"/><Relationship Id="rId282" Type="http://schemas.openxmlformats.org/officeDocument/2006/relationships/hyperlink" Target="https://pmc.ncbi.nlm.nih.gov/articles/PMC4529068/" TargetMode="External"/><Relationship Id="rId317" Type="http://schemas.openxmlformats.org/officeDocument/2006/relationships/fontTable" Target="fontTable.xml"/><Relationship Id="rId8" Type="http://schemas.openxmlformats.org/officeDocument/2006/relationships/hyperlink" Target="https://www.nature.com/articles/s41467-018-04049-3" TargetMode="External"/><Relationship Id="rId98" Type="http://schemas.openxmlformats.org/officeDocument/2006/relationships/hyperlink" Target="https://link.springer.com/article/10.1007/s12264-015-0007-4" TargetMode="External"/><Relationship Id="rId121" Type="http://schemas.openxmlformats.org/officeDocument/2006/relationships/hyperlink" Target="https://jneuroinflammation.biomedcentral.com/articles/10.1186/s12974-016-0556-0" TargetMode="External"/><Relationship Id="rId142" Type="http://schemas.openxmlformats.org/officeDocument/2006/relationships/hyperlink" Target="https://www.sciencedirect.com/topics/biochemistry-genetics-and-molecular-biology/rotarod-test" TargetMode="External"/><Relationship Id="rId163" Type="http://schemas.openxmlformats.org/officeDocument/2006/relationships/hyperlink" Target="https://www.sciencedirect.com/science/article/pii/S0092867414014342" TargetMode="External"/><Relationship Id="rId184" Type="http://schemas.openxmlformats.org/officeDocument/2006/relationships/hyperlink" Target="https://pmc.ncbi.nlm.nih.gov/articles/PMC4125188/" TargetMode="External"/><Relationship Id="rId219" Type="http://schemas.openxmlformats.org/officeDocument/2006/relationships/image" Target="media/image51.png"/><Relationship Id="rId230" Type="http://schemas.openxmlformats.org/officeDocument/2006/relationships/hyperlink" Target="https://pmc.ncbi.nlm.nih.gov/articles/PMC4752254/" TargetMode="External"/><Relationship Id="rId251" Type="http://schemas.openxmlformats.org/officeDocument/2006/relationships/hyperlink" Target="https://jneuroinflammation.biomedcentral.com/articles/10.1186/s12974-017-1045-9" TargetMode="External"/><Relationship Id="rId25" Type="http://schemas.openxmlformats.org/officeDocument/2006/relationships/hyperlink" Target="https://www.nature.com/articles/s41598-018-22216-w" TargetMode="External"/><Relationship Id="rId46" Type="http://schemas.openxmlformats.org/officeDocument/2006/relationships/hyperlink" Target="https://pmc.ncbi.nlm.nih.gov/articles/PMC6077887/" TargetMode="External"/><Relationship Id="rId67" Type="http://schemas.openxmlformats.org/officeDocument/2006/relationships/hyperlink" Target="https://thejournalofheadacheandpain.biomedcentral.com/articles/10.1186/s10194-017-0726-1" TargetMode="External"/><Relationship Id="rId272" Type="http://schemas.openxmlformats.org/officeDocument/2006/relationships/image" Target="media/image65.png"/><Relationship Id="rId293" Type="http://schemas.openxmlformats.org/officeDocument/2006/relationships/hyperlink" Target="https://pmc.ncbi.nlm.nih.gov/articles/PMC4529068/" TargetMode="External"/><Relationship Id="rId307" Type="http://schemas.openxmlformats.org/officeDocument/2006/relationships/hyperlink" Target="https://www.jneurosci.org/content/26/4/1281" TargetMode="External"/><Relationship Id="rId88" Type="http://schemas.openxmlformats.org/officeDocument/2006/relationships/hyperlink" Target="https://thejournalofheadacheandpain.biomedcentral.com/articles/10.1186/s10194-018-0879-6" TargetMode="External"/><Relationship Id="rId111" Type="http://schemas.openxmlformats.org/officeDocument/2006/relationships/hyperlink" Target="https://www.nature.com/articles/s41598-018-31962-w" TargetMode="External"/><Relationship Id="rId132" Type="http://schemas.openxmlformats.org/officeDocument/2006/relationships/hyperlink" Target="https://www.mdpi.com/1420-3049/19/1/1060" TargetMode="External"/><Relationship Id="rId153" Type="http://schemas.openxmlformats.org/officeDocument/2006/relationships/image" Target="media/image42.png"/><Relationship Id="rId174" Type="http://schemas.openxmlformats.org/officeDocument/2006/relationships/hyperlink" Target="https://pmc.ncbi.nlm.nih.gov/articles/PMC4772157/" TargetMode="External"/><Relationship Id="rId195" Type="http://schemas.openxmlformats.org/officeDocument/2006/relationships/hyperlink" Target="https://www.jci.org/articles/view/81950" TargetMode="External"/><Relationship Id="rId209" Type="http://schemas.openxmlformats.org/officeDocument/2006/relationships/hyperlink" Target="https://www.nature.com/articles/srep42260" TargetMode="External"/><Relationship Id="rId220" Type="http://schemas.openxmlformats.org/officeDocument/2006/relationships/hyperlink" Target="https://www.jci.org/articles/view/72230" TargetMode="External"/><Relationship Id="rId241" Type="http://schemas.openxmlformats.org/officeDocument/2006/relationships/image" Target="media/image57.png"/><Relationship Id="rId15" Type="http://schemas.openxmlformats.org/officeDocument/2006/relationships/hyperlink" Target="https://www.nature.com/articles/s41467-018-04049-3" TargetMode="External"/><Relationship Id="rId36" Type="http://schemas.openxmlformats.org/officeDocument/2006/relationships/hyperlink" Target="https://www.nature.com/articles/s41598-017-12744-2" TargetMode="External"/><Relationship Id="rId57" Type="http://schemas.openxmlformats.org/officeDocument/2006/relationships/hyperlink" Target="https://arthritis-research.biomedcentral.com/articles/10.1186/s13075-016-1025-y" TargetMode="External"/><Relationship Id="rId262" Type="http://schemas.openxmlformats.org/officeDocument/2006/relationships/image" Target="media/image64.png"/><Relationship Id="rId283" Type="http://schemas.openxmlformats.org/officeDocument/2006/relationships/hyperlink" Target="https://pmc.ncbi.nlm.nih.gov/articles/PMC4529068/" TargetMode="External"/><Relationship Id="rId318" Type="http://schemas.openxmlformats.org/officeDocument/2006/relationships/theme" Target="theme/theme1.xml"/><Relationship Id="rId78" Type="http://schemas.openxmlformats.org/officeDocument/2006/relationships/hyperlink" Target="https://www.tandfonline.com/doi/full/10.1080/19768354.2018.1490348" TargetMode="External"/><Relationship Id="rId99" Type="http://schemas.openxmlformats.org/officeDocument/2006/relationships/image" Target="media/image27.png"/><Relationship Id="rId101" Type="http://schemas.openxmlformats.org/officeDocument/2006/relationships/hyperlink" Target="https://link.springer.com/article/10.1007/s12264-015-0007-4" TargetMode="External"/><Relationship Id="rId122" Type="http://schemas.openxmlformats.org/officeDocument/2006/relationships/hyperlink" Target="https://link.springer.com/article/10.1007/s12035-016-9870-x" TargetMode="External"/><Relationship Id="rId143" Type="http://schemas.openxmlformats.org/officeDocument/2006/relationships/image" Target="media/image37.png"/><Relationship Id="rId164" Type="http://schemas.openxmlformats.org/officeDocument/2006/relationships/hyperlink" Target="https://www.nature.com/articles/nmeth.2935" TargetMode="External"/><Relationship Id="rId185" Type="http://schemas.openxmlformats.org/officeDocument/2006/relationships/hyperlink" Target="https://pmc.ncbi.nlm.nih.gov/articles/PMC4125188/" TargetMode="External"/><Relationship Id="rId9" Type="http://schemas.openxmlformats.org/officeDocument/2006/relationships/image" Target="media/image1.png"/><Relationship Id="rId210" Type="http://schemas.openxmlformats.org/officeDocument/2006/relationships/hyperlink" Target="https://www.nature.com/articles/srep42260" TargetMode="External"/><Relationship Id="rId26" Type="http://schemas.openxmlformats.org/officeDocument/2006/relationships/image" Target="media/image5.png"/><Relationship Id="rId231" Type="http://schemas.openxmlformats.org/officeDocument/2006/relationships/hyperlink" Target="https://pmc.ncbi.nlm.nih.gov/articles/PMC4752254/" TargetMode="External"/><Relationship Id="rId252" Type="http://schemas.openxmlformats.org/officeDocument/2006/relationships/hyperlink" Target="https://pmc.ncbi.nlm.nih.gov/articles/PMC4819624/" TargetMode="External"/><Relationship Id="rId273" Type="http://schemas.openxmlformats.org/officeDocument/2006/relationships/hyperlink" Target="https://pmc.ncbi.nlm.nih.gov/articles/PMC4956005/" TargetMode="External"/><Relationship Id="rId294" Type="http://schemas.openxmlformats.org/officeDocument/2006/relationships/hyperlink" Target="https://pmc.ncbi.nlm.nih.gov/articles/PMC4529068/" TargetMode="External"/><Relationship Id="rId308" Type="http://schemas.openxmlformats.org/officeDocument/2006/relationships/hyperlink" Target="https://www.jneurosci.org/content/26/4/1281" TargetMode="External"/><Relationship Id="rId47" Type="http://schemas.openxmlformats.org/officeDocument/2006/relationships/hyperlink" Target="https://www.sciencedirect.com/science/article/abs/pii/S1734114017305698" TargetMode="External"/><Relationship Id="rId68" Type="http://schemas.openxmlformats.org/officeDocument/2006/relationships/hyperlink" Target="https://jeo-esska.springeropen.com/articles/10.1186/s40634-017-0105-5" TargetMode="External"/><Relationship Id="rId89" Type="http://schemas.openxmlformats.org/officeDocument/2006/relationships/hyperlink" Target="https://thejournalofheadacheandpain.biomedcentral.com/articles/10.1186/s10194-018-0879-6" TargetMode="External"/><Relationship Id="rId112" Type="http://schemas.openxmlformats.org/officeDocument/2006/relationships/hyperlink" Target="https://www.nature.com/articles/s41598-018-31962-w" TargetMode="External"/><Relationship Id="rId133" Type="http://schemas.openxmlformats.org/officeDocument/2006/relationships/image" Target="media/image34.png"/><Relationship Id="rId154" Type="http://schemas.openxmlformats.org/officeDocument/2006/relationships/hyperlink" Target="https://www.sciencedirect.com/science/article/pii/S0092867414014342" TargetMode="External"/><Relationship Id="rId175" Type="http://schemas.openxmlformats.org/officeDocument/2006/relationships/hyperlink" Target="https://pmc.ncbi.nlm.nih.gov/articles/PMC4772157/" TargetMode="External"/><Relationship Id="rId196" Type="http://schemas.openxmlformats.org/officeDocument/2006/relationships/hyperlink" Target="https://www.nature.com/articles/srep42260" TargetMode="External"/><Relationship Id="rId200" Type="http://schemas.openxmlformats.org/officeDocument/2006/relationships/hyperlink" Target="https://www.nature.com/articles/srep42260" TargetMode="External"/><Relationship Id="rId16" Type="http://schemas.openxmlformats.org/officeDocument/2006/relationships/hyperlink" Target="https://www.nature.com/articles/s41467-018-04049-3" TargetMode="External"/><Relationship Id="rId221" Type="http://schemas.openxmlformats.org/officeDocument/2006/relationships/hyperlink" Target="https://www.jci.org/articles/view/72230" TargetMode="External"/><Relationship Id="rId242" Type="http://schemas.openxmlformats.org/officeDocument/2006/relationships/hyperlink" Target="https://pmc.ncbi.nlm.nih.gov/articles/PMC4356956/" TargetMode="External"/><Relationship Id="rId263" Type="http://schemas.openxmlformats.org/officeDocument/2006/relationships/hyperlink" Target="https://www.sciencedirect.com/topics/pharmacology-toxicology-and-pharmaceutical-science/poly-methyl-methacrylate" TargetMode="External"/><Relationship Id="rId284" Type="http://schemas.openxmlformats.org/officeDocument/2006/relationships/hyperlink" Target="https://pmc.ncbi.nlm.nih.gov/articles/PMC4529068/" TargetMode="External"/><Relationship Id="rId37" Type="http://schemas.openxmlformats.org/officeDocument/2006/relationships/hyperlink" Target="https://www.nature.com/articles/s41598-017-12744-2" TargetMode="External"/><Relationship Id="rId58" Type="http://schemas.openxmlformats.org/officeDocument/2006/relationships/hyperlink" Target="https://arthritis-research.biomedcentral.com/articles/10.1186/s13075-016-1025-y" TargetMode="External"/><Relationship Id="rId79" Type="http://schemas.openxmlformats.org/officeDocument/2006/relationships/image" Target="media/image22.png"/><Relationship Id="rId102" Type="http://schemas.openxmlformats.org/officeDocument/2006/relationships/hyperlink" Target="https://link.springer.com/article/10.1007/s12264-015-0007-4" TargetMode="External"/><Relationship Id="rId123" Type="http://schemas.openxmlformats.org/officeDocument/2006/relationships/image" Target="media/image33.png"/><Relationship Id="rId144" Type="http://schemas.openxmlformats.org/officeDocument/2006/relationships/image" Target="media/image38.png"/><Relationship Id="rId90" Type="http://schemas.openxmlformats.org/officeDocument/2006/relationships/hyperlink" Target="https://pmc.ncbi.nlm.nih.gov/articles/PMC4956384/" TargetMode="External"/><Relationship Id="rId165" Type="http://schemas.openxmlformats.org/officeDocument/2006/relationships/hyperlink" Target="https://pmc.ncbi.nlm.nih.gov/articles/PMC4772157/" TargetMode="External"/><Relationship Id="rId186" Type="http://schemas.openxmlformats.org/officeDocument/2006/relationships/hyperlink" Target="https://pmc.ncbi.nlm.nih.gov/articles/PMC4125188/" TargetMode="External"/><Relationship Id="rId211" Type="http://schemas.openxmlformats.org/officeDocument/2006/relationships/hyperlink" Target="https://www.nature.com/articles/srep42260" TargetMode="External"/><Relationship Id="rId232" Type="http://schemas.openxmlformats.org/officeDocument/2006/relationships/hyperlink" Target="https://www.ncbi.nlm.nih.gov/nuccore/I21411" TargetMode="External"/><Relationship Id="rId253" Type="http://schemas.openxmlformats.org/officeDocument/2006/relationships/image" Target="media/image62.png"/><Relationship Id="rId274" Type="http://schemas.openxmlformats.org/officeDocument/2006/relationships/hyperlink" Target="https://pmc.ncbi.nlm.nih.gov/articles/PMC4956005/" TargetMode="External"/><Relationship Id="rId295" Type="http://schemas.openxmlformats.org/officeDocument/2006/relationships/hyperlink" Target="https://pmc.ncbi.nlm.nih.gov/articles/PMC4529068/" TargetMode="External"/><Relationship Id="rId309" Type="http://schemas.openxmlformats.org/officeDocument/2006/relationships/hyperlink" Target="https://www.jneurosci.org/content/26/4/1281" TargetMode="External"/><Relationship Id="rId27" Type="http://schemas.openxmlformats.org/officeDocument/2006/relationships/image" Target="media/image6.png"/><Relationship Id="rId48" Type="http://schemas.openxmlformats.org/officeDocument/2006/relationships/hyperlink" Target="https://www.sciencedirect.com/science/article/pii/S0361923014001002" TargetMode="External"/><Relationship Id="rId69" Type="http://schemas.openxmlformats.org/officeDocument/2006/relationships/image" Target="media/image16.png"/><Relationship Id="rId113" Type="http://schemas.openxmlformats.org/officeDocument/2006/relationships/hyperlink" Target="https://www.nature.com/articles/s41598-018-31962-w" TargetMode="External"/><Relationship Id="rId134" Type="http://schemas.openxmlformats.org/officeDocument/2006/relationships/image" Target="media/image35.png"/><Relationship Id="rId80" Type="http://schemas.openxmlformats.org/officeDocument/2006/relationships/hyperlink" Target="https://www.tandfonline.com/doi/full/10.1080/19768354.2018.1490348?scroll=top&amp;needAccess=true" TargetMode="External"/><Relationship Id="rId155" Type="http://schemas.openxmlformats.org/officeDocument/2006/relationships/hyperlink" Target="https://www.sciencedirect.com/topics/neuroscience/vesicular-glutamate-transporter-1" TargetMode="External"/><Relationship Id="rId176" Type="http://schemas.openxmlformats.org/officeDocument/2006/relationships/hyperlink" Target="https://ard.bmj.com/content/annrheumdis/75/4/730.full.pdf" TargetMode="External"/><Relationship Id="rId197" Type="http://schemas.openxmlformats.org/officeDocument/2006/relationships/image" Target="media/image49.png"/><Relationship Id="rId201" Type="http://schemas.openxmlformats.org/officeDocument/2006/relationships/hyperlink" Target="https://www.nature.com/articles/srep42260" TargetMode="External"/><Relationship Id="rId222" Type="http://schemas.openxmlformats.org/officeDocument/2006/relationships/hyperlink" Target="https://pmc.ncbi.nlm.nih.gov/articles/PMC4752254/" TargetMode="External"/><Relationship Id="rId243" Type="http://schemas.openxmlformats.org/officeDocument/2006/relationships/image" Target="media/image58.png"/><Relationship Id="rId264" Type="http://schemas.openxmlformats.org/officeDocument/2006/relationships/hyperlink" Target="https://www.sciencedirect.com/topics/medicine-and-dentistry/thin-filament" TargetMode="External"/><Relationship Id="rId285" Type="http://schemas.openxmlformats.org/officeDocument/2006/relationships/hyperlink" Target="https://pmc.ncbi.nlm.nih.gov/articles/PMC4529068/" TargetMode="External"/><Relationship Id="rId17" Type="http://schemas.openxmlformats.org/officeDocument/2006/relationships/hyperlink" Target="https://www.nature.com/articles/s41467-018-04049-3" TargetMode="External"/><Relationship Id="rId38" Type="http://schemas.openxmlformats.org/officeDocument/2006/relationships/hyperlink" Target="https://pubmed.ncbi.nlm.nih.gov/29902945/" TargetMode="External"/><Relationship Id="rId59" Type="http://schemas.openxmlformats.org/officeDocument/2006/relationships/hyperlink" Target="https://arthritis-research.biomedcentral.com/articles/10.1186/s13075-016-1025-y" TargetMode="External"/><Relationship Id="rId103" Type="http://schemas.openxmlformats.org/officeDocument/2006/relationships/hyperlink" Target="https://www.nature.com/articles/s41598-018-31962-w" TargetMode="External"/><Relationship Id="rId124" Type="http://schemas.openxmlformats.org/officeDocument/2006/relationships/hyperlink" Target="https://link.springer.com/article/10.1007/s12035-016-9870-x" TargetMode="External"/><Relationship Id="rId310" Type="http://schemas.openxmlformats.org/officeDocument/2006/relationships/hyperlink" Target="https://www.jneurosci.org/content/26/4/1281" TargetMode="External"/><Relationship Id="rId70" Type="http://schemas.openxmlformats.org/officeDocument/2006/relationships/image" Target="media/image17.png"/><Relationship Id="rId91" Type="http://schemas.openxmlformats.org/officeDocument/2006/relationships/image" Target="media/image24.png"/><Relationship Id="rId145" Type="http://schemas.openxmlformats.org/officeDocument/2006/relationships/hyperlink" Target="https://www.sciencedirect.com/science/article/pii/S0092867414014342" TargetMode="External"/><Relationship Id="rId166" Type="http://schemas.openxmlformats.org/officeDocument/2006/relationships/image" Target="media/image43.png"/><Relationship Id="rId187" Type="http://schemas.openxmlformats.org/officeDocument/2006/relationships/hyperlink" Target="https://pmc.ncbi.nlm.nih.gov/articles/PMC4125188/" TargetMode="External"/><Relationship Id="rId1" Type="http://schemas.openxmlformats.org/officeDocument/2006/relationships/customXml" Target="../customXml/item1.xml"/><Relationship Id="rId212" Type="http://schemas.openxmlformats.org/officeDocument/2006/relationships/hyperlink" Target="https://www.nature.com/articles/srep42260" TargetMode="External"/><Relationship Id="rId233" Type="http://schemas.openxmlformats.org/officeDocument/2006/relationships/hyperlink" Target="https://www.jci.org/articles/view/80883" TargetMode="External"/><Relationship Id="rId254" Type="http://schemas.openxmlformats.org/officeDocument/2006/relationships/hyperlink" Target="https://pmc.ncbi.nlm.nih.gov/articles/PMC4819624/" TargetMode="External"/><Relationship Id="rId28" Type="http://schemas.openxmlformats.org/officeDocument/2006/relationships/hyperlink" Target="https://www.nature.com/articles/s41598-018-22216-w" TargetMode="External"/><Relationship Id="rId49" Type="http://schemas.openxmlformats.org/officeDocument/2006/relationships/image" Target="media/image10.png"/><Relationship Id="rId114" Type="http://schemas.openxmlformats.org/officeDocument/2006/relationships/hyperlink" Target="https://jneuroinflammation.biomedcentral.com/articles/10.1186/s12974-016-0556-0" TargetMode="External"/><Relationship Id="rId275" Type="http://schemas.openxmlformats.org/officeDocument/2006/relationships/hyperlink" Target="https://pmc.ncbi.nlm.nih.gov/articles/PMC4956005/" TargetMode="External"/><Relationship Id="rId296" Type="http://schemas.openxmlformats.org/officeDocument/2006/relationships/hyperlink" Target="https://pmc.ncbi.nlm.nih.gov/articles/PMC4529068/" TargetMode="External"/><Relationship Id="rId300" Type="http://schemas.openxmlformats.org/officeDocument/2006/relationships/hyperlink" Target="https://pubmed.ncbi.nlm.nih.gov/34752775/" TargetMode="External"/><Relationship Id="rId60" Type="http://schemas.openxmlformats.org/officeDocument/2006/relationships/hyperlink" Target="https://thejournalofheadacheandpain.biomedcentral.com/articles/10.1186/s10194-017-0726-1" TargetMode="External"/><Relationship Id="rId81" Type="http://schemas.openxmlformats.org/officeDocument/2006/relationships/hyperlink" Target="https://www.tandfonline.com/doi/full/10.1080/19768354.2018.1490348?scroll=top&amp;needAccess=true" TargetMode="External"/><Relationship Id="rId135" Type="http://schemas.openxmlformats.org/officeDocument/2006/relationships/hyperlink" Target="https://www.mdpi.com/1420-3049/19/1/1060" TargetMode="External"/><Relationship Id="rId156" Type="http://schemas.openxmlformats.org/officeDocument/2006/relationships/hyperlink" Target="https://www.sciencedirect.com/topics/biochemistry-genetics-and-molecular-biology/vesicular-glutamate-transporter-1" TargetMode="External"/><Relationship Id="rId177" Type="http://schemas.openxmlformats.org/officeDocument/2006/relationships/image" Target="media/image44.png"/><Relationship Id="rId198" Type="http://schemas.openxmlformats.org/officeDocument/2006/relationships/hyperlink" Target="https://www.nature.com/articles/srep42260" TargetMode="External"/><Relationship Id="rId202" Type="http://schemas.openxmlformats.org/officeDocument/2006/relationships/hyperlink" Target="https://www.nature.com/articles/srep42260" TargetMode="External"/><Relationship Id="rId223" Type="http://schemas.openxmlformats.org/officeDocument/2006/relationships/image" Target="media/image52.png"/><Relationship Id="rId244" Type="http://schemas.openxmlformats.org/officeDocument/2006/relationships/image" Target="media/image59.png"/><Relationship Id="rId18" Type="http://schemas.openxmlformats.org/officeDocument/2006/relationships/hyperlink" Target="https://www.nature.com/articles/s41467-018-04049-3" TargetMode="External"/><Relationship Id="rId39" Type="http://schemas.openxmlformats.org/officeDocument/2006/relationships/image" Target="media/image8.png"/><Relationship Id="rId265" Type="http://schemas.openxmlformats.org/officeDocument/2006/relationships/hyperlink" Target="https://www.sciencedirect.com/topics/neuroscience/behavior-neuroscience" TargetMode="External"/><Relationship Id="rId286" Type="http://schemas.openxmlformats.org/officeDocument/2006/relationships/hyperlink" Target="https://pmc.ncbi.nlm.nih.gov/articles/PMC4529068/" TargetMode="External"/><Relationship Id="rId50" Type="http://schemas.openxmlformats.org/officeDocument/2006/relationships/image" Target="media/image11.png"/><Relationship Id="rId104" Type="http://schemas.openxmlformats.org/officeDocument/2006/relationships/image" Target="media/image29.png"/><Relationship Id="rId125" Type="http://schemas.openxmlformats.org/officeDocument/2006/relationships/hyperlink" Target="https://link.springer.com/article/10.1007/s12035-016-9870-x" TargetMode="External"/><Relationship Id="rId146" Type="http://schemas.openxmlformats.org/officeDocument/2006/relationships/hyperlink" Target="https://www.sciencedirect.com/topics/biochemistry-genetics-and-molecular-biology/von-frey-test" TargetMode="External"/><Relationship Id="rId167" Type="http://schemas.openxmlformats.org/officeDocument/2006/relationships/hyperlink" Target="https://pmc.ncbi.nlm.nih.gov/articles/PMC4772157/" TargetMode="External"/><Relationship Id="rId188" Type="http://schemas.openxmlformats.org/officeDocument/2006/relationships/hyperlink" Target="https://pmc.ncbi.nlm.nih.gov/articles/PMC4125188/" TargetMode="External"/><Relationship Id="rId311" Type="http://schemas.openxmlformats.org/officeDocument/2006/relationships/hyperlink" Target="https://www.jneurosci.org/content/26/4/1281" TargetMode="External"/><Relationship Id="rId71" Type="http://schemas.openxmlformats.org/officeDocument/2006/relationships/image" Target="media/image18.png"/><Relationship Id="rId92" Type="http://schemas.openxmlformats.org/officeDocument/2006/relationships/hyperlink" Target="https://pmc.ncbi.nlm.nih.gov/articles/PMC4956384/" TargetMode="External"/><Relationship Id="rId213" Type="http://schemas.openxmlformats.org/officeDocument/2006/relationships/hyperlink" Target="https://www.nature.com/articles/srep42260" TargetMode="External"/><Relationship Id="rId234" Type="http://schemas.openxmlformats.org/officeDocument/2006/relationships/image" Target="media/image53.png"/><Relationship Id="rId2" Type="http://schemas.openxmlformats.org/officeDocument/2006/relationships/numbering" Target="numbering.xml"/><Relationship Id="rId29" Type="http://schemas.openxmlformats.org/officeDocument/2006/relationships/hyperlink" Target="https://www.nature.com/articles/s41598-018-22216-w" TargetMode="External"/><Relationship Id="rId255" Type="http://schemas.openxmlformats.org/officeDocument/2006/relationships/hyperlink" Target="https://pmc.ncbi.nlm.nih.gov/articles/PMC4819624/" TargetMode="External"/><Relationship Id="rId276" Type="http://schemas.openxmlformats.org/officeDocument/2006/relationships/hyperlink" Target="https://pmc.ncbi.nlm.nih.gov/articles/PMC4956005/" TargetMode="External"/><Relationship Id="rId297" Type="http://schemas.openxmlformats.org/officeDocument/2006/relationships/hyperlink" Target="https://pmc.ncbi.nlm.nih.gov/articles/PMC4529068/" TargetMode="External"/><Relationship Id="rId40" Type="http://schemas.openxmlformats.org/officeDocument/2006/relationships/image" Target="media/image9.png"/><Relationship Id="rId115" Type="http://schemas.openxmlformats.org/officeDocument/2006/relationships/image" Target="media/image31.png"/><Relationship Id="rId136" Type="http://schemas.openxmlformats.org/officeDocument/2006/relationships/hyperlink" Target="https://www.mdpi.com/1420-3049/19/1/1060" TargetMode="External"/><Relationship Id="rId157" Type="http://schemas.openxmlformats.org/officeDocument/2006/relationships/hyperlink" Target="https://www.sciencedirect.com/topics/neuroscience/chloroquine" TargetMode="External"/><Relationship Id="rId178" Type="http://schemas.openxmlformats.org/officeDocument/2006/relationships/hyperlink" Target="https://pmc.ncbi.nlm.nih.gov/articles/PMC4125188/" TargetMode="External"/><Relationship Id="rId301" Type="http://schemas.openxmlformats.org/officeDocument/2006/relationships/hyperlink" Target="https://pubmed.ncbi.nlm.nih.gov/31693897/" TargetMode="External"/><Relationship Id="rId61" Type="http://schemas.openxmlformats.org/officeDocument/2006/relationships/image" Target="media/image15.png"/><Relationship Id="rId82" Type="http://schemas.openxmlformats.org/officeDocument/2006/relationships/hyperlink" Target="https://www.tandfonline.com/doi/full/10.1080/19768354.2018.1490348?scroll=top&amp;needAccess=true" TargetMode="External"/><Relationship Id="rId199" Type="http://schemas.openxmlformats.org/officeDocument/2006/relationships/hyperlink" Target="https://www.nature.com/articles/srep42260" TargetMode="External"/><Relationship Id="rId203" Type="http://schemas.openxmlformats.org/officeDocument/2006/relationships/hyperlink" Target="https://www.nature.com/articles/srep42260" TargetMode="External"/><Relationship Id="rId19" Type="http://schemas.openxmlformats.org/officeDocument/2006/relationships/hyperlink" Target="https://www.nature.com/articles/s41467-018-04049-3" TargetMode="External"/><Relationship Id="rId224" Type="http://schemas.openxmlformats.org/officeDocument/2006/relationships/hyperlink" Target="https://pmc.ncbi.nlm.nih.gov/articles/PMC4752254/" TargetMode="External"/><Relationship Id="rId245" Type="http://schemas.openxmlformats.org/officeDocument/2006/relationships/hyperlink" Target="https://pmc.ncbi.nlm.nih.gov/articles/PMC4686868/" TargetMode="External"/><Relationship Id="rId266" Type="http://schemas.openxmlformats.org/officeDocument/2006/relationships/hyperlink" Target="https://www.sciencedirect.com/science/article/pii/S0028390817305658" TargetMode="External"/><Relationship Id="rId287" Type="http://schemas.openxmlformats.org/officeDocument/2006/relationships/hyperlink" Target="https://pmc.ncbi.nlm.nih.gov/articles/PMC4529068/" TargetMode="External"/><Relationship Id="rId30" Type="http://schemas.openxmlformats.org/officeDocument/2006/relationships/hyperlink" Target="https://www.nature.com/articles/s41598-018-22216-w" TargetMode="External"/><Relationship Id="rId105" Type="http://schemas.openxmlformats.org/officeDocument/2006/relationships/image" Target="media/image30.png"/><Relationship Id="rId126" Type="http://schemas.openxmlformats.org/officeDocument/2006/relationships/hyperlink" Target="https://link.springer.com/article/10.1007/s12035-016-9870-x" TargetMode="External"/><Relationship Id="rId147" Type="http://schemas.openxmlformats.org/officeDocument/2006/relationships/image" Target="media/image39.png"/><Relationship Id="rId168" Type="http://schemas.openxmlformats.org/officeDocument/2006/relationships/hyperlink" Target="https://pmc.ncbi.nlm.nih.gov/articles/PMC4772157/" TargetMode="External"/><Relationship Id="rId312" Type="http://schemas.openxmlformats.org/officeDocument/2006/relationships/hyperlink" Target="https://www.jneurosci.org/content/26/4/1281" TargetMode="External"/><Relationship Id="rId51" Type="http://schemas.openxmlformats.org/officeDocument/2006/relationships/image" Target="media/image12.png"/><Relationship Id="rId72" Type="http://schemas.openxmlformats.org/officeDocument/2006/relationships/hyperlink" Target="https://www.nature.com/articles/srep05676" TargetMode="External"/><Relationship Id="rId93" Type="http://schemas.openxmlformats.org/officeDocument/2006/relationships/hyperlink" Target="https://pmc.ncbi.nlm.nih.gov/articles/PMC4956384/" TargetMode="External"/><Relationship Id="rId189" Type="http://schemas.openxmlformats.org/officeDocument/2006/relationships/hyperlink" Target="https://pmc.ncbi.nlm.nih.gov/articles/PMC4125188/" TargetMode="External"/><Relationship Id="rId3" Type="http://schemas.openxmlformats.org/officeDocument/2006/relationships/styles" Target="styles.xml"/><Relationship Id="rId214" Type="http://schemas.openxmlformats.org/officeDocument/2006/relationships/hyperlink" Target="https://www.nature.com/articles/srep42260" TargetMode="External"/><Relationship Id="rId235" Type="http://schemas.openxmlformats.org/officeDocument/2006/relationships/image" Target="media/image54.png"/><Relationship Id="rId256" Type="http://schemas.openxmlformats.org/officeDocument/2006/relationships/hyperlink" Target="https://pmc.ncbi.nlm.nih.gov/articles/PMC4819624/" TargetMode="External"/><Relationship Id="rId277" Type="http://schemas.openxmlformats.org/officeDocument/2006/relationships/hyperlink" Target="https://pmc.ncbi.nlm.nih.gov/articles/PMC4956005/" TargetMode="External"/><Relationship Id="rId298" Type="http://schemas.openxmlformats.org/officeDocument/2006/relationships/hyperlink" Target="https://www.nature.com/articles/s41467-024-52243-3" TargetMode="External"/><Relationship Id="rId116" Type="http://schemas.openxmlformats.org/officeDocument/2006/relationships/image" Target="media/image32.png"/><Relationship Id="rId137" Type="http://schemas.openxmlformats.org/officeDocument/2006/relationships/hyperlink" Target="https://www.sciencedirect.com/science/article/pii/S0092867414014342" TargetMode="External"/><Relationship Id="rId158" Type="http://schemas.openxmlformats.org/officeDocument/2006/relationships/hyperlink" Target="https://www.sciencedirect.com/topics/neuroscience/agonist" TargetMode="External"/><Relationship Id="rId302" Type="http://schemas.openxmlformats.org/officeDocument/2006/relationships/hyperlink" Target="https://www.jci.org/articles/view/166408" TargetMode="External"/><Relationship Id="rId20" Type="http://schemas.openxmlformats.org/officeDocument/2006/relationships/hyperlink" Target="https://www.nature.com/articles/s41467-018-04049-3" TargetMode="External"/><Relationship Id="rId41" Type="http://schemas.openxmlformats.org/officeDocument/2006/relationships/hyperlink" Target="https://pmc.ncbi.nlm.nih.gov/articles/PMC6077887/" TargetMode="External"/><Relationship Id="rId62" Type="http://schemas.openxmlformats.org/officeDocument/2006/relationships/hyperlink" Target="https://thejournalofheadacheandpain.biomedcentral.com/articles/10.1186/s10194-017-0726-1" TargetMode="External"/><Relationship Id="rId83" Type="http://schemas.openxmlformats.org/officeDocument/2006/relationships/hyperlink" Target="https://www.tandfonline.com/doi/full/10.1080/19768354.2018.1490348?scroll=top&amp;needAccess=true" TargetMode="External"/><Relationship Id="rId179" Type="http://schemas.openxmlformats.org/officeDocument/2006/relationships/image" Target="media/image45.png"/><Relationship Id="rId190" Type="http://schemas.openxmlformats.org/officeDocument/2006/relationships/hyperlink" Target="https://pmc.ncbi.nlm.nih.gov/articles/PMC4125188/" TargetMode="External"/><Relationship Id="rId204" Type="http://schemas.openxmlformats.org/officeDocument/2006/relationships/hyperlink" Target="https://www.nature.com/articles/srep42260" TargetMode="External"/><Relationship Id="rId225" Type="http://schemas.openxmlformats.org/officeDocument/2006/relationships/hyperlink" Target="https://pmc.ncbi.nlm.nih.gov/articles/PMC4752254/" TargetMode="External"/><Relationship Id="rId246" Type="http://schemas.openxmlformats.org/officeDocument/2006/relationships/image" Target="media/image60.png"/><Relationship Id="rId267" Type="http://schemas.openxmlformats.org/officeDocument/2006/relationships/hyperlink" Target="https://www.sciencedirect.com/science/article/pii/S0028390817305658" TargetMode="External"/><Relationship Id="rId288" Type="http://schemas.openxmlformats.org/officeDocument/2006/relationships/hyperlink" Target="https://pmc.ncbi.nlm.nih.gov/articles/PMC4529068/" TargetMode="External"/><Relationship Id="rId106" Type="http://schemas.openxmlformats.org/officeDocument/2006/relationships/hyperlink" Target="https://www.nature.com/articles/s41598-018-31962-w" TargetMode="External"/><Relationship Id="rId127" Type="http://schemas.openxmlformats.org/officeDocument/2006/relationships/hyperlink" Target="https://link.springer.com/article/10.1007/s12035-016-9870-x" TargetMode="External"/><Relationship Id="rId313" Type="http://schemas.openxmlformats.org/officeDocument/2006/relationships/hyperlink" Target="https://www.jneurosci.org/content/26/4/1281" TargetMode="External"/><Relationship Id="rId10" Type="http://schemas.openxmlformats.org/officeDocument/2006/relationships/image" Target="media/image2.png"/><Relationship Id="rId31" Type="http://schemas.openxmlformats.org/officeDocument/2006/relationships/hyperlink" Target="https://www.nature.com/articles/s41598-017-12744-2" TargetMode="External"/><Relationship Id="rId52" Type="http://schemas.openxmlformats.org/officeDocument/2006/relationships/image" Target="media/image13.png"/><Relationship Id="rId73" Type="http://schemas.openxmlformats.org/officeDocument/2006/relationships/image" Target="media/image19.png"/><Relationship Id="rId94" Type="http://schemas.openxmlformats.org/officeDocument/2006/relationships/hyperlink" Target="https://pmc.ncbi.nlm.nih.gov/articles/PMC4956384/" TargetMode="External"/><Relationship Id="rId148" Type="http://schemas.openxmlformats.org/officeDocument/2006/relationships/hyperlink" Target="https://www.sciencedirect.com/science/article/pii/S0092867414014342" TargetMode="External"/><Relationship Id="rId169" Type="http://schemas.openxmlformats.org/officeDocument/2006/relationships/hyperlink" Target="https://pmc.ncbi.nlm.nih.gov/articles/PMC4772157/" TargetMode="External"/><Relationship Id="rId4" Type="http://schemas.openxmlformats.org/officeDocument/2006/relationships/settings" Target="settings.xml"/><Relationship Id="rId180" Type="http://schemas.openxmlformats.org/officeDocument/2006/relationships/image" Target="media/image46.png"/><Relationship Id="rId215" Type="http://schemas.openxmlformats.org/officeDocument/2006/relationships/hyperlink" Target="https://www.nature.com/articles/srep42260" TargetMode="External"/><Relationship Id="rId236" Type="http://schemas.openxmlformats.org/officeDocument/2006/relationships/image" Target="media/image55.png"/><Relationship Id="rId257" Type="http://schemas.openxmlformats.org/officeDocument/2006/relationships/hyperlink" Target="https://link.springer.com/article/10.1007/s10103-014-1552-1" TargetMode="External"/><Relationship Id="rId278" Type="http://schemas.openxmlformats.org/officeDocument/2006/relationships/hyperlink" Target="https://pmc.ncbi.nlm.nih.gov/articles/PMC4956005/" TargetMode="External"/><Relationship Id="rId303" Type="http://schemas.openxmlformats.org/officeDocument/2006/relationships/hyperlink" Target="https://www.jneurosci.org/content/26/4/1281" TargetMode="External"/><Relationship Id="rId42" Type="http://schemas.openxmlformats.org/officeDocument/2006/relationships/hyperlink" Target="https://pmc.ncbi.nlm.nih.gov/articles/PMC6077887/" TargetMode="External"/><Relationship Id="rId84" Type="http://schemas.openxmlformats.org/officeDocument/2006/relationships/hyperlink" Target="https://thejournalofheadacheandpain.biomedcentral.com/articles/10.1186/s10194-018-0879-6" TargetMode="External"/><Relationship Id="rId138" Type="http://schemas.openxmlformats.org/officeDocument/2006/relationships/image" Target="media/image36.png"/><Relationship Id="rId191" Type="http://schemas.openxmlformats.org/officeDocument/2006/relationships/hyperlink" Target="https://pmc.ncbi.nlm.nih.gov/articles/PMC4125188/" TargetMode="External"/><Relationship Id="rId205" Type="http://schemas.openxmlformats.org/officeDocument/2006/relationships/hyperlink" Target="https://www.nature.com/articles/srep42260" TargetMode="External"/><Relationship Id="rId247" Type="http://schemas.openxmlformats.org/officeDocument/2006/relationships/hyperlink" Target="https://jneuroinflammation.biomedcentral.com/articles/10.1186/s12974-017-1045-9" TargetMode="External"/><Relationship Id="rId107" Type="http://schemas.openxmlformats.org/officeDocument/2006/relationships/hyperlink" Target="https://www.nature.com/articles/s41598-018-31962-w" TargetMode="External"/><Relationship Id="rId289" Type="http://schemas.openxmlformats.org/officeDocument/2006/relationships/hyperlink" Target="https://pmc.ncbi.nlm.nih.gov/articles/PMC4529068/" TargetMode="External"/><Relationship Id="rId11" Type="http://schemas.openxmlformats.org/officeDocument/2006/relationships/image" Target="media/image3.png"/><Relationship Id="rId53" Type="http://schemas.openxmlformats.org/officeDocument/2006/relationships/hyperlink" Target="https://www.sciencedirect.com/topics/neuroscience/nociception" TargetMode="External"/><Relationship Id="rId149" Type="http://schemas.openxmlformats.org/officeDocument/2006/relationships/hyperlink" Target="https://www.sciencedirect.com/science/article/pii/S0092867414014342" TargetMode="External"/><Relationship Id="rId314" Type="http://schemas.openxmlformats.org/officeDocument/2006/relationships/hyperlink" Target="https://www.jneurosci.org/content/26/4/1281" TargetMode="External"/><Relationship Id="rId95" Type="http://schemas.openxmlformats.org/officeDocument/2006/relationships/hyperlink" Target="https://www.mdpi.com/2072-6643/8/12/760" TargetMode="External"/><Relationship Id="rId160" Type="http://schemas.openxmlformats.org/officeDocument/2006/relationships/hyperlink" Target="https://www.sciencedirect.com/topics/biochemistry-genetics-and-molecular-biology/mouse-mutant" TargetMode="External"/><Relationship Id="rId216" Type="http://schemas.openxmlformats.org/officeDocument/2006/relationships/hyperlink" Target="https://www.nature.com/articles/srep42260" TargetMode="External"/><Relationship Id="rId258" Type="http://schemas.openxmlformats.org/officeDocument/2006/relationships/image" Target="media/image63.png"/><Relationship Id="rId22" Type="http://schemas.openxmlformats.org/officeDocument/2006/relationships/hyperlink" Target="https://www.nature.com/articles/s41467-018-04049-3" TargetMode="External"/><Relationship Id="rId64" Type="http://schemas.openxmlformats.org/officeDocument/2006/relationships/hyperlink" Target="https://thejournalofheadacheandpain.biomedcentral.com/articles/10.1186/s10194-017-0726-1" TargetMode="External"/><Relationship Id="rId118" Type="http://schemas.openxmlformats.org/officeDocument/2006/relationships/hyperlink" Target="https://jneuroinflammation.biomedcentral.com/articles/10.1186/s12974-016-0556-0" TargetMode="External"/><Relationship Id="rId171" Type="http://schemas.openxmlformats.org/officeDocument/2006/relationships/hyperlink" Target="https://pmc.ncbi.nlm.nih.gov/articles/PMC4772157/" TargetMode="External"/><Relationship Id="rId227" Type="http://schemas.openxmlformats.org/officeDocument/2006/relationships/hyperlink" Target="https://pmc.ncbi.nlm.nih.gov/articles/PMC4752254/" TargetMode="External"/><Relationship Id="rId269" Type="http://schemas.openxmlformats.org/officeDocument/2006/relationships/hyperlink" Target="https://www.sciencedirect.com/topics/pharmacology-toxicology-and-pharmaceutical-science/tissue-injury" TargetMode="External"/><Relationship Id="rId33" Type="http://schemas.openxmlformats.org/officeDocument/2006/relationships/hyperlink" Target="https://www.nature.com/articles/s41598-017-12744-2" TargetMode="External"/><Relationship Id="rId129" Type="http://schemas.openxmlformats.org/officeDocument/2006/relationships/hyperlink" Target="https://link.springer.com/article/10.1007/s12035-016-9870-x" TargetMode="External"/><Relationship Id="rId280" Type="http://schemas.openxmlformats.org/officeDocument/2006/relationships/image" Target="media/image66.png"/><Relationship Id="rId75" Type="http://schemas.openxmlformats.org/officeDocument/2006/relationships/image" Target="media/image21.png"/><Relationship Id="rId140" Type="http://schemas.openxmlformats.org/officeDocument/2006/relationships/hyperlink" Target="https://www.sciencedirect.com/topics/neuroscience/periaqueductal-gray" TargetMode="External"/><Relationship Id="rId182" Type="http://schemas.openxmlformats.org/officeDocument/2006/relationships/hyperlink" Target="https://pmc.ncbi.nlm.nih.gov/articles/PMC4125188/" TargetMode="External"/><Relationship Id="rId6" Type="http://schemas.openxmlformats.org/officeDocument/2006/relationships/footnotes" Target="footnotes.xml"/><Relationship Id="rId238" Type="http://schemas.openxmlformats.org/officeDocument/2006/relationships/hyperlink" Target="https://www.jci.org/articles/view/80883" TargetMode="External"/><Relationship Id="rId291" Type="http://schemas.openxmlformats.org/officeDocument/2006/relationships/hyperlink" Target="https://pmc.ncbi.nlm.nih.gov/articles/PMC4529068/" TargetMode="External"/><Relationship Id="rId305" Type="http://schemas.openxmlformats.org/officeDocument/2006/relationships/hyperlink" Target="https://www.jneurosci.org/content/26/4/1281" TargetMode="External"/><Relationship Id="rId44" Type="http://schemas.openxmlformats.org/officeDocument/2006/relationships/hyperlink" Target="https://pmc.ncbi.nlm.nih.gov/articles/PMC6077887/" TargetMode="External"/><Relationship Id="rId86" Type="http://schemas.openxmlformats.org/officeDocument/2006/relationships/hyperlink" Target="https://thejournalofheadacheandpain.biomedcentral.com/articles/10.1186/s10194-018-0879-6" TargetMode="External"/><Relationship Id="rId151" Type="http://schemas.openxmlformats.org/officeDocument/2006/relationships/hyperlink" Target="https://www.sciencedirect.com/topics/neuroscience/adjuvant-therapy" TargetMode="External"/><Relationship Id="rId193" Type="http://schemas.openxmlformats.org/officeDocument/2006/relationships/image" Target="media/image48.png"/><Relationship Id="rId207" Type="http://schemas.openxmlformats.org/officeDocument/2006/relationships/hyperlink" Target="https://www.nature.com/articles/srep42260" TargetMode="External"/><Relationship Id="rId249" Type="http://schemas.openxmlformats.org/officeDocument/2006/relationships/hyperlink" Target="https://jneuroinflammation.biomedcentral.com/articles/10.1186/s12974-017-1045-9"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EDD6B0-1B9D-4DD9-8581-56334F8CF0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122</Pages>
  <Words>115604</Words>
  <Characters>139883</Characters>
  <Application>Microsoft Office Word</Application>
  <DocSecurity>0</DocSecurity>
  <Lines>6358</Lines>
  <Paragraphs>7514</Paragraphs>
  <ScaleCrop>false</ScaleCrop>
  <Company/>
  <LinksUpToDate>false</LinksUpToDate>
  <CharactersWithSpaces>247973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Xiaowei Chen</dc:creator>
  <cp:keywords/>
  <dc:description/>
  <cp:lastModifiedBy>Qiyun Zhang</cp:lastModifiedBy>
  <cp:revision>4</cp:revision>
  <dcterms:created xsi:type="dcterms:W3CDTF">2024-12-14T15:36:00Z</dcterms:created>
  <dcterms:modified xsi:type="dcterms:W3CDTF">2024-12-14T16:23:00Z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4b20d6ca175ee64f57ff14b6a921f44011d4e49f934b207938b77de1b96777d9</vt:lpwstr>
  </property>
</Properties>
</file>